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ALOT</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4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2025-09-09)</w:t>
            </w:r>
          </w:p>
        </w:tc>
        <w:tc>
          <w:tcPr>
            <w:tcW w:type="dxa" w:w="7200"/>
          </w:tcPr>
          <w:p>
            <w:pPr>
              <w:spacing w:before="60" w:after="60"/>
            </w:pPr>
            <w:r>
              <w:rPr>
                <w:rFonts w:ascii="Arial" w:hAnsi="Arial"/>
                <w:sz w:val="17"/>
              </w:rPr>
              <w:t>Vagueness: 0.2015  |  Complexity: 0.1552</w:t>
            </w:r>
          </w:p>
        </w:tc>
      </w:tr>
      <w:tr>
        <w:tc>
          <w:tcPr>
            <w:tcW w:type="dxa" w:w="2880"/>
            <w:shd w:val="clear" w:color="auto" w:fill="EBF3FB"/>
          </w:tcPr>
          <w:p>
            <w:pPr>
              <w:spacing w:before="60" w:after="60"/>
            </w:pPr>
            <w:r>
              <w:rPr>
                <w:rFonts w:ascii="Arial" w:hAnsi="Arial"/>
                <w:b/>
                <w:sz w:val="17"/>
              </w:rPr>
              <w:t>Prior (10-Q 2025-06-06)</w:t>
            </w:r>
          </w:p>
        </w:tc>
        <w:tc>
          <w:tcPr>
            <w:tcW w:type="dxa" w:w="7200"/>
          </w:tcPr>
          <w:p>
            <w:pPr>
              <w:spacing w:before="60" w:after="60"/>
            </w:pPr>
            <w:r>
              <w:rPr>
                <w:rFonts w:ascii="Arial" w:hAnsi="Arial"/>
                <w:sz w:val="17"/>
              </w:rPr>
              <w:t>Vagueness: 0.2249  |  Complexity: 0.1564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-0.0234  |  Complexity: -0.0012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AstroNova, Inc. (ALOT) presents low supply chain disclosure risk based on converging LOW signals from both Claude Analysis and FinBERT statistical screening. The company's 10-Q vagueness scores rank well below the sector mean, indicating above-average linguistic clarity. However, several borderline findings—thin human capital risk discussion amid CEO turnover and a 10% workforce reduction, limited MTEX integration disclosure, and absent tariff risk language despite multinational operations—merit monitoring. Recommended action is routine surveillance with targeted follow-up on operational restructuring progress.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ALOT's latest 10-Q vagueness score of 0.2015 sits approximately 0.31 points below the 185-company sector mean of 0.5066, placing it firmly below the 25th percentile and indicating relatively transparent language. The trend is modestly improving, with vagueness declining 0.023 points sequentially. Complexity remains low and stable. The consistent pattern across quarterly filings—vagueness scores near 0.20–0.24—suggests structural clarity rather than one-time improvement, reinforcing the LOW FinBERT signal.</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concern is the gap between ALOT's disclosed operational events and the depth of accompanying risk discussion. The company announced a 10% global workforce reduction, CEO resignation, MTEX Portugal realignment, and arbitration with MTEX sellers, yet the filing treats these as factual recitations with minimal forward-looking risk assessment (see 10-Q filed 2025-09-09, p.46). For a company acknowledging that MTEX integration has been "more time-consuming and resource-intensive than originally anticipated," the absence of specifics on timeline, financial impact, or the arbitration's relationship to integration difficulties is notable (see 10-Q filed 2025-09-09, p.48).</w:t>
      </w:r>
    </w:p>
    <w:p>
      <w:pPr>
        <w:spacing w:after="120" w:before="40"/>
      </w:pPr>
      <w:r>
        <w:rPr>
          <w:rFonts w:ascii="Arial" w:hAnsi="Arial"/>
          <w:i w:val="0"/>
          <w:color w:val="000000"/>
          <w:sz w:val="18"/>
        </w:rPr>
        <w:t>A secondary finding involves the removal of a previously disclosed hypothetical 10% FX sensitivity analysis without explanation (see 10-Q filed 2025-09-09, p.61). While the amounts were immaterial (less than $0.1 million), eliminating quantitative sensitivity disclosures during a period of heightened currency volatility and with operations spanning China, Denmark, and the Eurozone reduces transparency. Additionally, ALOT provides no discussion of tariff or trade policy risk despite its multinational manufacturing footprint (see 10-Q filed 2025-09-09, p.61), a gap that may become more consequential if U.S.-China trade tensions affect its supply chain.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Peer comparisons in this analysis were conducted against Evolv Technologies (EVLV), a company facing extraordinary accounting and legal crises. This limits the diagnostic value of peer-based flags, as EVLV's elevated disclosure detail reflects idiosyncratic distress rather than industry disclosure norms. This is a known limitation; ALOT's niche industrial printing peer set is small and difficult to match. Sector-wide FinBERT positioning remains the more reliable comparator.</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due diligence steps: first, during the next earnings call or supplier review, press ALOT management on the MTEX arbitration scope, expected restructuring costs, and whether the Portugal realignment affects product delivery timelines to downstream customers. Second, assess whether ALOT's China operations face tariff exposure on components or finished goods flowing into U.S. supply chains. Third, establish a monitoring cadence on leadership stability given the recent CEO transition and workforce reduction, particularly regarding retention of key engineering talent critical to product continuity.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