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ANET</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2  |  Borderline: 4  |  Dismissed: 9</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2025-08-06)</w:t>
            </w:r>
          </w:p>
        </w:tc>
        <w:tc>
          <w:tcPr>
            <w:tcW w:type="dxa" w:w="7200"/>
          </w:tcPr>
          <w:p>
            <w:pPr>
              <w:spacing w:before="60" w:after="60"/>
            </w:pPr>
            <w:r>
              <w:rPr>
                <w:rFonts w:ascii="Arial" w:hAnsi="Arial"/>
                <w:sz w:val="17"/>
              </w:rPr>
              <w:t>Vagueness: 0.7594  |  Complexity: 0.0390</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0.7592  |  Complexity: 0.0399</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+0.0002  |  Complexity: -0.0009</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Arista Networks (ANET) presents a divergent disclosure signal requiring nuanced interpretation. The Claude Analysis flags LOW risk, identifying only two genuine concerns—removal of stock repurchase quantitative detail and deletion of channel partner credit risk language—amid largely benign editorial reorganization. However, FinBERT ranks ANET's vagueness as HIGH, sitting 25 percentage points above the sector mean and well above the 75th percentile among 185 peers. This divergence likely reflects ANET's structurally boilerplate-heavy filing style rather than active obfuscation, but warrants targeted verification. Recommend confirming relocated disclosures and monitoring customer concentration risk language.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ANET's FinBERT vagueness score of 0.7594 far exceeds the sector mean of 0.5066 and the 75th percentile of 0.5957, placing it among the most vaguely worded filers in its 185-company networking/infrastructure peer universe. However, the trend is essentially flat—vagueness changed by just +0.0002 sequentially—suggesting this is a persistent filing style rather than a deteriorating one. The 10-K filings score notably higher (~0.81) than 10-Qs (~0.76), consistent with lengthier annual risk factor boilerplate.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removal of specific stock repurchase program quantitative detail from the liquidity section. The prior filing disclosed the $1.2B and $1.5B programs, $787.1M repurchased in Q1, and remaining authorization of $133.9M; the current filing replaces this with a single generic statement about having "adopted stock repurchase programs" (see 10-Q filed 2025-08-06, p.75). The Opus analysis notes these figures may appear elsewhere in the filing, partially mitigating the concern, but their absence from MD&amp;A liquidity discussion reduces scanning efficiency for analysts.</w:t>
      </w:r>
    </w:p>
    <w:p>
      <w:pPr>
        <w:spacing w:after="120" w:before="40"/>
      </w:pPr>
      <w:r>
        <w:rPr>
          <w:rFonts w:ascii="Arial" w:hAnsi="Arial"/>
          <w:i w:val="0"/>
          <w:color w:val="000000"/>
          <w:sz w:val="18"/>
        </w:rPr>
        <w:t>The second genuine concern is the deletion of explicit channel partner credit risk and large-customer purchasing power language (see 10-Q filed 2025-08-06, p.33). Given ANET's hyperscale customer concentration, the removal of language about customers leveraging purchasing power for "lower prices, bundled upgrades, extended warranties" is notable. The current filing retains only generic distributor credit language (see 10-Q filed 2025-08-06, p.33). Additionally, specific AI investment cost drivers were replaced with vague compliance burden references (see 10-Q filed 2025-08-06, p.69), though AI-related discussion appears relocated rather than eliminated.</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ANET's vagueness scores consistently exceed sector norms, ranking in the top decile of its 185-company universe. Peer comparisons with F5 Networks and Extreme Networks suggest ANET provides less granular quantitative detail in its MD&amp;A liquidity and cost sections, though ANET's simpler capital structure and superior margins partially explain this. The peer set (FFIV, EXTR) represents smaller-scale competitors; peer selection limitations may understate ANET's relative quality against hyperscale-exposed peers.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review ANET's complete Q2 2025 10-Q MD&amp;A to confirm that repurchase program dollar amounts and remaining authorization are disclosed with specificity elsewhere, documenting the exact section location. Second, assess whether the removal of customer purchasing power risk language correlates with any contract renegotiations or concentration shifts among hyperscale customers (Meta, Microsoft, others). Third, establish a baseline comparison of ANET's next 10-K filing to determine whether the structurally high vagueness scores identified by FinBERT begin trending upward.</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15:33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