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AP</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2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2025-08-12)</w:t>
            </w:r>
          </w:p>
        </w:tc>
        <w:tc>
          <w:tcPr>
            <w:tcW w:type="dxa" w:w="7200"/>
          </w:tcPr>
          <w:p>
            <w:pPr>
              <w:spacing w:before="60" w:after="60"/>
            </w:pPr>
            <w:r>
              <w:rPr>
                <w:rFonts w:ascii="Arial" w:hAnsi="Arial"/>
                <w:sz w:val="17"/>
              </w:rPr>
              <w:t>Vagueness: 0.3253  |  Complexity: 0.1332</w:t>
            </w:r>
          </w:p>
        </w:tc>
      </w:tr>
      <w:tr>
        <w:tc>
          <w:tcPr>
            <w:tcW w:type="dxa" w:w="2880"/>
            <w:shd w:val="clear" w:color="auto" w:fill="EBF3FB"/>
          </w:tcPr>
          <w:p>
            <w:pPr>
              <w:spacing w:before="60" w:after="60"/>
            </w:pPr>
            <w:r>
              <w:rPr>
                <w:rFonts w:ascii="Arial" w:hAnsi="Arial"/>
                <w:b/>
                <w:sz w:val="17"/>
              </w:rPr>
              <w:t>Prior (10-Q 2025-05-12)</w:t>
            </w:r>
          </w:p>
        </w:tc>
        <w:tc>
          <w:tcPr>
            <w:tcW w:type="dxa" w:w="7200"/>
          </w:tcPr>
          <w:p>
            <w:pPr>
              <w:spacing w:before="60" w:after="60"/>
            </w:pPr>
            <w:r>
              <w:rPr>
                <w:rFonts w:ascii="Arial" w:hAnsi="Arial"/>
                <w:sz w:val="17"/>
              </w:rPr>
              <w:t>Vagueness: 0.3496  |  Complexity: 0.1472</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-0.0243  |  Complexity: -0.0140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Ampco-Pittsburgh Corporation (AP) presents minimal supply chain disclosure risk. Both the Claude Analysis signal and FinBERT statistical signal register LOW, indicating convergent evidence of stable transparency. AP's latest quarterly vagueness score of 0.33 sits well below the sector mean of 0.51, placing it among the more transparent filers in its industrial peer group. Only one genuine disclosure reduction was identified—removal of a specific Chinese joint venture tax rate—which warrants targeted monitoring but does not suggest systematic obfuscation. Maintain routine surveillance cadence.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AP's FinBERT vagueness scores are consistently below the sector 25th percentile (0.42), with the latest 10-Q at 0.33 versus the sector mean of 0.51—a favorable gap of 0.18 standard deviations below average. The most recent quarter-over-quarter change shows a modest improvement (vagueness declining by 0.024 points). Annual 10-K filings run near 0.50, close to sector average, but the quarterly filings demonstrate notably clearer language. The overall trend is flat to slightly improving.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finding involves AP's removal of specific Chinese joint venture High Technology Enterprise tax rate disclosures. The prior filing quantified a 15% preferential rate (versus 25% statutory) through 2026 and its contribution to income tax benefits (see 10-Q filed 2025-05-12, p.38). The current filing replaces this with generic language about evaluating the One Big Beautiful Bill Act's impact (see 10-Q filed 2025-08-12, p.51). While the substitution may reflect legitimate regulatory uncertainty from OBBBA's July 2025 enactment, investors lose visibility into a quantifiable earnings driver—the favorable 10-percentage-point rate differential at the China joint venture.</w:t>
      </w:r>
    </w:p>
    <w:p>
      <w:pPr>
        <w:spacing w:after="120" w:before="40"/>
      </w:pPr>
      <w:r>
        <w:rPr>
          <w:rFonts w:ascii="Arial" w:hAnsi="Arial"/>
          <w:i w:val="0"/>
          <w:color w:val="000000"/>
          <w:sz w:val="18"/>
        </w:rPr>
        <w:t>Two borderline items merit awareness but not alarm. Granular inventory movement commentary with specific dollar breakdowns (~$7,400 increase with component-level attribution) disappeared from the latest quarterly filing (see 10-Q filed 2025-05-12, p.43), though this likely reflects lower materiality of Q2 inventory changes rather than deliberate suppression. Separately, non-GAAP methodology boilerplate was condensed, but reconciliation tables and substantive accounting policy disclosures remain intact. Notably, three of six initial screening flags were dismissed because AP actually discloses more than peers in those areas—a positive signal.</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AP's disclosure quality ranks favorably within the 185-company sector universe, sitting 0.18 points below mean vagueness. This positions AP roughly in the top quartile for filing clarity. Peer comparison is somewhat limited given AP's specialized industrial focus (engineered steel and air handling equipment), which may not perfectly align with all companies in the broader sector classification.</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AP's 10-K proxy materials and prior annual filings to confirm whether the Chinese joint venture's HTE status remains in effect through 2026, and model the earnings impact if the preferential rate were to expire or be modified under OBBBA provisions. Second, compare Q2 balance sheet inventory balances against Q1 to assess whether a material movement occurred without corresponding MD&amp;A discussion. Third, monitor the next quarterly filing for whether the HTE tax rate disclosure is restored once OBBBA impact evaluation is completed.</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15:34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