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AREB</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2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2025-08-13)</w:t>
            </w:r>
          </w:p>
        </w:tc>
        <w:tc>
          <w:tcPr>
            <w:tcW w:type="dxa" w:w="7200"/>
          </w:tcPr>
          <w:p>
            <w:pPr>
              <w:spacing w:before="60" w:after="60"/>
            </w:pPr>
            <w:r>
              <w:rPr>
                <w:rFonts w:ascii="Arial" w:hAnsi="Arial"/>
                <w:sz w:val="17"/>
              </w:rPr>
              <w:t>Vagueness: 0.4703  |  Complexity: 0.0710</w:t>
            </w:r>
          </w:p>
        </w:tc>
      </w:tr>
      <w:tr>
        <w:tc>
          <w:tcPr>
            <w:tcW w:type="dxa" w:w="2880"/>
            <w:shd w:val="clear" w:color="auto" w:fill="EBF3FB"/>
          </w:tcPr>
          <w:p>
            <w:pPr>
              <w:spacing w:before="60" w:after="60"/>
            </w:pPr>
            <w:r>
              <w:rPr>
                <w:rFonts w:ascii="Arial" w:hAnsi="Arial"/>
                <w:b/>
                <w:sz w:val="17"/>
              </w:rPr>
              <w:t>Prior (10-Q 2025-05-15)</w:t>
            </w:r>
          </w:p>
        </w:tc>
        <w:tc>
          <w:tcPr>
            <w:tcW w:type="dxa" w:w="7200"/>
          </w:tcPr>
          <w:p>
            <w:pPr>
              <w:spacing w:before="60" w:after="60"/>
            </w:pPr>
            <w:r>
              <w:rPr>
                <w:rFonts w:ascii="Arial" w:hAnsi="Arial"/>
                <w:sz w:val="17"/>
              </w:rPr>
              <w:t>Vagueness: 0.5173  |  Complexity: 0.0656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-0.0470  |  Complexity: +0.0054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American Rebel Holdings Inc. (AREB) presents a MEDIUM supply chain transparency risk supported by converging Claude Analysis (MEDIUM) and FinBERT (MEDIUM) signals. The company sells firearms safes likely sourced from China and operates in cannabis-adjacent markets, yet discloses virtually no product liability, tariff, regulatory, or supply chain risk information. MD&amp;A reads as promotional marketing rather than substantive disclosure. Portfolio managers with upstream exposure to AREB should treat this as a due diligence priority requiring direct management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AREB's latest filing vagueness score of 0.4703 sits slightly below the sector mean of 0.5066 and near the 25th percentile (0.4199), suggesting language that is not unusually vague in aggregate. However, the sharp vagueness spike to 0.5173 in the May 2025 10-Q followed by modest improvement warrants monitoring. Complexity scores have trended meaningfully lower (0.1717 to 0.0710), consistent with simplified, marketing-style prose replacing substantive technical disclosure.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AREB's most material disclosure gap is the complete absence of product liability, warranty accrual, or operational risk discussion for safety-critical firearms storage products. The company's product descriptions are purely promotional, touting features like fire protection ratings and biometric access , while omitting any discussion of safe failure scenarios, warranty reserves, or manufacturing quality controls. For products where malfunction directly implicates personal safety and creates significant liability exposure, this omission is striking relative to peers that disclose warranty methodologies and product liability litigation.</w:t>
      </w:r>
    </w:p>
    <w:p>
      <w:pPr>
        <w:spacing w:after="120" w:before="40"/>
      </w:pPr>
      <w:r>
        <w:rPr>
          <w:rFonts w:ascii="Arial" w:hAnsi="Arial"/>
          <w:i w:val="0"/>
          <w:color w:val="000000"/>
          <w:sz w:val="18"/>
        </w:rPr>
        <w:t>Equally concerning, AREB provides no tariff or trade policy disclosure despite selling physical products almost certainly subject to Chinese import tariffs that may reach 55%. Its sole macroeconomic statement is a single generic sentence referencing possible positive and negative impacts . The company also frames state safe storage laws purely as marketing opportunities rather than disclosing its own regulatory compliance obligations across firearms and cannabis-adjacent industries , an approach that contrasts sharply with peers facing similar regulatory landscapes.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comparisons are directionally informative but imperfect; AREB's micro-cap scale and niche product mix differ substantially from comparators like HLIO and MWA, which are larger industrial manufacturers with global operations. This size disparity partly explains disclosure volume differences. However, the categorical absence of entire risk categories—product liability, tariff exposure, regulatory compliance—cannot be attributed solely to scale and represents a genuine peer divergence.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concrete steps: first, investigate AREB's safe sourcing through import records (e.g., Panjiva or ImportGenius) to quantify Chinese tariff exposure and assess undisclosed COGS pressure. Second, review court dockets and state attorney general databases for any product liability claims, ATF enforcement actions, or cannabis-related regulatory proceedings not disclosed in filings. Third, engage AREB management directly on warranty reserve methodology, product liability insurance coverage adequacy, and tariff pass-through strategy during the next earnings cycle.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