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ASTE</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0.1774  |  Complexity: 0.0738</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0.2348  |  Complexity: 0.0676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-0.0574  |  Complexity: +0.0062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Astec Industries (ASTE) presents a divergent disclosure risk profile: Claude Analysis flags MEDIUM concern driven by temporal thinning of ERP milestones, acquisition risk factors, and litigation disclosures in the Q2 2025 10-Q, while FinBERT ranks the company's vagueness as LOW relative to the industrial machinery sector (0.18 vs. sector mean 0.51). The divergence likely reflects that ASTE's language, while clear in what it retains, has materially reduced the scope of what it discloses. Recommend targeted follow-up on ERP status, TerraSource integration, and steel input cost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ASTE's latest 10-Q vagueness score of 0.18 sits well below the sector 25th percentile (0.42) and 33 percentage points below the sector mean, placing it among the most linguistically precise filers in the 185-company universe. The trend is favorable, with vagueness declining 5.7 points sequentially. However, low vagueness scores can coexist with material omissions — brevity achieved by removing disclosures entirely rather than obfuscating them will not register in lexical analysis.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removal of ERP implementation milestones. The prior filing detailed specific module completions and site rollout timelines, while the current filing retains only a generic reference to an ongoing "multi-year global ERP implementation" (see 10-Q filed 2025-08-06, p.35). For a company mid-stream in a transformative IT project with direct internal control implications, this elimination prevents analysts from tracking execution risk or identifying cost overruns.</w:t>
      </w:r>
    </w:p>
    <w:p>
      <w:pPr>
        <w:spacing w:after="120" w:before="40"/>
      </w:pPr>
      <w:r>
        <w:rPr>
          <w:rFonts w:ascii="Arial" w:hAnsi="Arial"/>
          <w:i w:val="0"/>
          <w:color w:val="000000"/>
          <w:sz w:val="18"/>
        </w:rPr>
        <w:t>Equally concerning is the disappearance of detailed TerraSource acquisition integration risk factors and the removal of the affirmative "no material pending litigation" statement (see 10-Q filed 2025-08-06, p.27). If TerraSource integration is ongoing, stripping risks around regulatory approvals, customer retention, and synergy realization is a significant disclosure gap. Separately, the prior filing's explicit discussion of steel as a major equipment component has been dropped , reducing visibility into a key supply chain cost driver for downstream purchasers of ASTE's infrastructure equipment.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peer Columbus McKinnon (CMCO), ASTE's legal and contingency disclosures are notably sparse — CMCO quantifies asbestos, product liability, and environmental reserves while ASTE offers a single monitoring sentence (see 10-Q filed 2025-08-06, p.27). Some gap reflects genuine differences in legacy liabilities, and peer selection across industrial sub-segments is an inherent limitation of this comparison framework.</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steps: first, directly engage ASTE management for a current ERP implementation status update including completed modules, remaining sites, timeline, and budget versus plan. Second, confirm TerraSource acquisition status and whether integration risks have materialized or been mitigated, explaining the removal of associated risk factors. Third, review the most recent 10-K to determine whether steel cost sensitivity and supply chain input disclosures were relocated rather than eliminated, and monitor the next quarterly filing for restoration of these topics.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