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ASYS</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3  |  Borderline: 3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2025-08-06)</w:t>
            </w:r>
          </w:p>
        </w:tc>
        <w:tc>
          <w:tcPr>
            <w:tcW w:type="dxa" w:w="7200"/>
          </w:tcPr>
          <w:p>
            <w:pPr>
              <w:spacing w:before="60" w:after="60"/>
            </w:pPr>
            <w:r>
              <w:rPr>
                <w:rFonts w:ascii="Arial" w:hAnsi="Arial"/>
                <w:sz w:val="17"/>
              </w:rPr>
              <w:t>Vagueness: 0.2932  |  Complexity: 0.2208</w:t>
            </w:r>
          </w:p>
        </w:tc>
      </w:tr>
      <w:tr>
        <w:tc>
          <w:tcPr>
            <w:tcW w:type="dxa" w:w="2880"/>
            <w:shd w:val="clear" w:color="auto" w:fill="EBF3FB"/>
          </w:tcPr>
          <w:p>
            <w:pPr>
              <w:spacing w:before="60" w:after="60"/>
            </w:pPr>
            <w:r>
              <w:rPr>
                <w:rFonts w:ascii="Arial" w:hAnsi="Arial"/>
                <w:b/>
                <w:sz w:val="17"/>
              </w:rPr>
              <w:t>Prior (10-Q 2025-05-12)</w:t>
            </w:r>
          </w:p>
        </w:tc>
        <w:tc>
          <w:tcPr>
            <w:tcW w:type="dxa" w:w="7200"/>
          </w:tcPr>
          <w:p>
            <w:pPr>
              <w:spacing w:before="60" w:after="60"/>
            </w:pPr>
            <w:r>
              <w:rPr>
                <w:rFonts w:ascii="Arial" w:hAnsi="Arial"/>
                <w:sz w:val="17"/>
              </w:rPr>
              <w:t>Vagueness: 0.2986  |  Complexity: 0.2158</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-0.0054  |  Complexity: +0.0050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Amtech Systems (ASYS) presents a divergent disclosure risk signal for supply chain monitoring. Claude Analysis flags MEDIUM risk driven by selective disclosure thinning around geopolitical exposure and impairment methodology, while FinBERT ranks the company's vagueness as LOW — well below the sector mean — indicating quantitatively clear language. The divergence likely reflects targeted omissions in specific high-materiality areas rather than broad obfuscation. Given ASYS's 53% Asia revenue concentration, downstream buyers should conduct enhanced due diligence on geopolitical and acquisition-related risks before the next filing cycle.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ASYS's FinBERT vagueness score of 0.293 sits 0.213 below the sector mean of 0.507, placing it firmly below the 25th percentile — among the most linguistically precise filers in its 185-company universe. Vagueness has declined steadily across five consecutive filings, and complexity has risen modestly as quarterly filings incorporate more technical detail. This quantitative profile suggests disclosure language is generally concrete, which makes the targeted qualitative gaps identified by Claude Analysis all the more notable.</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conspicuous absence of substantive geopolitical risk disclosure despite ASYS deriving 18% of revenue from China and 21% from Taiwan. Management itself cited 'geopolitical tensions' when reducing forward guidance, yet the filing offers only a single generic sentence acknowledging that markets 'can be subject to tariffs and sourcing restrictions' (see 10-Q filed 2025-08-06, p.30). Peer comparisons reveal that companies with comparable or lesser Asia exposure provide significantly more granular discussion of tariff impacts, export control requirements, and demand-shifting patterns . This gap is inconsistent with the company's own materiality acknowledgments and creates blind spots for supply chain partners evaluating sourcing continuity.</w:t>
      </w:r>
    </w:p>
    <w:p>
      <w:pPr>
        <w:spacing w:after="120" w:before="40"/>
      </w:pPr>
      <w:r>
        <w:rPr>
          <w:rFonts w:ascii="Arial" w:hAnsi="Arial"/>
          <w:i w:val="0"/>
          <w:color w:val="000000"/>
          <w:sz w:val="18"/>
        </w:rPr>
        <w:t>The second concern involves the removal of detailed impairment testing methodology — including discount rates, valuation approach weightings, and growth assumptions — from the accounting notes immediately following $20.4 million in goodwill and $2.6 million in intangible impairment charges (see 10-Q filed 2025-08-06, p.13). Concurrently, the positive Entrepix acquisition narrative disappeared from product descriptions after the Semiconductor Fabrication Solutions segment's goodwill was fully written off. Together, these omissions reduce an analyst's ability to assess whether further write-downs or strategic restructuring may be forthcoming.</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ASYS's quantitative disclosure quality exceeds most sector peers, ranking in the bottom decile for vagueness. However, qualitative peer comparisons expose targeted gaps: competitors with similar international footprints provide materially richer geopolitical, export control, and foreign currency impact disclosures. The peer set includes firms with differing business models, which is a known limitation of the current comparison framework.</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review ASYS's most recent 10-K for export control and FCPA compliance risk factors to determine whether omissions in the 10-Q reflect normal condensation or a genuine gap. Second, engage ASYS investor relations directly to request quantified foreign currency impacts, specific tariff exposure on China-bound shipments, and the current operational status of Entrepix. Third, monitor the next quarterly filing for restoration of impairment methodology detail and any signs of further Semiconductor Fabrication Solutions segment restructuring.</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15:35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