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ATEN</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0  |  Borderline: 4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2025-08-05)</w:t>
            </w:r>
          </w:p>
        </w:tc>
        <w:tc>
          <w:tcPr>
            <w:tcW w:type="dxa" w:w="7200"/>
          </w:tcPr>
          <w:p>
            <w:pPr>
              <w:spacing w:before="60" w:after="60"/>
            </w:pPr>
            <w:r>
              <w:rPr>
                <w:rFonts w:ascii="Arial" w:hAnsi="Arial"/>
                <w:sz w:val="17"/>
              </w:rPr>
              <w:t>Vagueness: 0.2998  |  Complexity: 0.1129</w:t>
            </w:r>
          </w:p>
        </w:tc>
      </w:tr>
      <w:tr>
        <w:tc>
          <w:tcPr>
            <w:tcW w:type="dxa" w:w="2880"/>
            <w:shd w:val="clear" w:color="auto" w:fill="EBF3FB"/>
          </w:tcPr>
          <w:p>
            <w:pPr>
              <w:spacing w:before="60" w:after="60"/>
            </w:pPr>
            <w:r>
              <w:rPr>
                <w:rFonts w:ascii="Arial" w:hAnsi="Arial"/>
                <w:b/>
                <w:sz w:val="17"/>
              </w:rPr>
              <w:t>Prior (10-Q 2025-05-06)</w:t>
            </w:r>
          </w:p>
        </w:tc>
        <w:tc>
          <w:tcPr>
            <w:tcW w:type="dxa" w:w="7200"/>
          </w:tcPr>
          <w:p>
            <w:pPr>
              <w:spacing w:before="60" w:after="60"/>
            </w:pPr>
            <w:r>
              <w:rPr>
                <w:rFonts w:ascii="Arial" w:hAnsi="Arial"/>
                <w:sz w:val="17"/>
              </w:rPr>
              <w:t>Vagueness: 0.3093  |  Complexity: 0.1107</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-0.0095  |  Complexity: +0.0022</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A10 Networks (ATEN) presents minimal supply chain disclosure risk as an upstream supplier. Both the Claude Analysis signal (LOW) and the FinBERT sector-relative signal (LOW) converge, indicating no material degradation in filing transparency. ATEN's vagueness scores sit well below the sector mean, and the most recent quarterly filing shows a slight improvement. The brevity of certain MD&amp;A disclosures appears proportionate to ATEN's software-heavy business model rather than indicative of obfuscation. No escalation is warranted; routine monitoring is sufficient.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ATEN's latest 10-Q vagueness score of 0.2998 sits roughly 0.21 below the sector mean of 0.5066, placing the company comfortably below the 25th percentile among 185 peers — indicating above-average clarity. The sequential trend is stable to slightly improving, with vagueness declining 0.95 basis points from the prior quarter. Complexity remains low at 0.11, consistent with ATEN's relatively straightforward software-centric financial narrative. No adverse trend is detectable.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ATEN's MD&amp;A supply chain disclosure is limited to a single sentence acknowledging outsourced hardware manufacturing (see 10-Q filed 2025-08-05, p.11). While this is notably spare compared to hardware-intensive peers like Lantronix, the differential largely reflects business model composition — ATEN derives the majority of its revenue from cybersecurity software subscriptions and services, making extensive component-level sourcing disclosure less critical. The screening system's peer comparisons with LTRX and DGII were partially misleading due to fundamentally different hardware dependencies.</w:t>
      </w:r>
    </w:p>
    <w:p>
      <w:pPr>
        <w:spacing w:after="120" w:before="40"/>
      </w:pPr>
      <w:r>
        <w:rPr>
          <w:rFonts w:ascii="Arial" w:hAnsi="Arial"/>
          <w:i w:val="0"/>
          <w:color w:val="000000"/>
          <w:sz w:val="18"/>
        </w:rPr>
        <w:t>Similarly, ATEN's litigation disclosure consists of two boilerplate sentences referencing Part II Item 1 without quantifying any pending matters (see 10-Q filed 2025-08-05, p.31). By contrast, Digi International disclosed a specific $6.3 million litigation reserve — but that arose from a discrete event rather than reflecting a higher standard of ongoing disclosure practice. ATEN's regulatory risk commentary in the 10-Q is sparse for a company with global cybersecurity operations, though the Pass 1 review concluded this is likely offset by adequate 10-K Risk Factor coverage rather than representing systematic under-disclosure.</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ATEN ranks favorably against the broader 185-company sector universe on quantitative disclosure metrics. The peer comparisons flagged by the screening system (LTRX, DGII) involve companies with materially different hardware-manufacturing intensities, which limits the diagnostic value of qualitative comparisons. This is a known limitation of the current peer selection methodology for software-dominant companies classified within broader technology sectors.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cross-reference ATEN's 10-K Risk Factors and Note disclosures to confirm that supply chain concentration risks for its ODM relationships and regulatory exposures (GDPR, export controls) receive adequate annual treatment. Second, monitor ATEN's hardware appliance revenue mix over coming quarters — any meaningful increase would warrant reassessing whether the single-sentence MD&amp;A supply chain disclosure remains proportionate. No immediate escalation or enhanced monitoring is needed given the convergence of both LOW signals.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15:35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