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AXON</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0  |  Borderline: 2  |  Dismissed: 6</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2025-08-05)</w:t>
            </w:r>
          </w:p>
        </w:tc>
        <w:tc>
          <w:tcPr>
            <w:tcW w:type="dxa" w:w="7200"/>
          </w:tcPr>
          <w:p>
            <w:pPr>
              <w:spacing w:before="60" w:after="60"/>
            </w:pPr>
            <w:r>
              <w:rPr>
                <w:rFonts w:ascii="Arial" w:hAnsi="Arial"/>
                <w:sz w:val="17"/>
              </w:rPr>
              <w:t>Vagueness: 0.2344  |  Complexity: 0.2256</w:t>
            </w:r>
          </w:p>
        </w:tc>
      </w:tr>
      <w:tr>
        <w:tc>
          <w:tcPr>
            <w:tcW w:type="dxa" w:w="2880"/>
            <w:shd w:val="clear" w:color="auto" w:fill="EBF3FB"/>
          </w:tcPr>
          <w:p>
            <w:pPr>
              <w:spacing w:before="60" w:after="60"/>
            </w:pPr>
            <w:r>
              <w:rPr>
                <w:rFonts w:ascii="Arial" w:hAnsi="Arial"/>
                <w:b/>
                <w:sz w:val="17"/>
              </w:rPr>
              <w:t>Prior (10-Q 2025-05-07)</w:t>
            </w:r>
          </w:p>
        </w:tc>
        <w:tc>
          <w:tcPr>
            <w:tcW w:type="dxa" w:w="7200"/>
          </w:tcPr>
          <w:p>
            <w:pPr>
              <w:spacing w:before="60" w:after="60"/>
            </w:pPr>
            <w:r>
              <w:rPr>
                <w:rFonts w:ascii="Arial" w:hAnsi="Arial"/>
                <w:sz w:val="17"/>
              </w:rPr>
              <w:t>Vagueness: 0.2408  |  Complexity: 0.2457</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-0.0064  |  Complexity: -0.0201</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Axon Enterprise (AXON) presents minimal supply chain disclosure risk based on converging LOW signals from both the Claude qualitative analysis and the FinBERT statistical model. AXON's vagueness score sits well below the sector mean (27th percentile vs. median), and the qualitative review identified no systematic disclosure degradation—only two borderline flags relating to tariff impact quantification and supply chain dependency discussion. No immediate escalation is warranted; routine monitoring is sufficient.</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AXON's latest 10-Q vagueness score of 0.234 ranks substantially below the sector mean of 0.507, placing the company in approximately the bottom quartile of vagueness among 185 peers. The sequential trend is stable, with vagueness declining marginally (-0.006) from the prior quarter. Complexity scores are also modest and declining. This statistical profile indicates AXON's disclosure language is more precise than the typical sector filing, with no deterioration evident across the recent filing series.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two borderline flags center on disclosure gaps rather than obfuscation. First, AXON's MD&amp;A omits any quantification of tariff or trade policy impacts on cost of goods, while peer Smith &amp; Wesson Brands explicitly estimates a 120-basis-point gross margin headwind from tariffs . Given AXON's international manufacturing footprint for body cameras, conducted energy devices, and drones, this absence is notable—though its increasing software and SaaS revenue mix may genuinely reduce tariff sensitivity relative to a pure hardware manufacturer.</w:t>
      </w:r>
    </w:p>
    <w:p>
      <w:pPr>
        <w:spacing w:after="120" w:before="40"/>
      </w:pPr>
      <w:r>
        <w:rPr>
          <w:rFonts w:ascii="Arial" w:hAnsi="Arial"/>
          <w:i w:val="0"/>
          <w:color w:val="000000"/>
          <w:sz w:val="18"/>
        </w:rPr>
        <w:t>Second, AXON's MD&amp;A references supplier prepayments only in passing without substantive supply chain concentration or dependency discussion (see 10-Q filed 2025-08-05, p.43). For a company manufacturing complex electronics with semiconductor inputs, the lack of component-level sourcing commentary contrasts with peers who detail raw material dependencies. However, the Pass 1 review notes AXON's risk factors section does address supply chain disruption, and the MD&amp;A excerpt may not capture the full scope of disclosure elsewhere in the filing. Neither flag suggests intentional degradation.</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AXON's disclosure quality compares favorably to sector peers on quantitative measures, ranking in the lower quartile of vagueness. The peer comparisons flagged (SWBI, RGR) reflect companies with fundamentally different business models—primarily hardware/firearms manufacturers—which limits direct comparability. This peer selection mismatch is a known limitation of the current screening methodology.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review AXON's full 10-K risk factors and business description sections for supply chain concentration detail, particularly semiconductor and electronic component sourcing for its hardware product lines. Second, analysts should track AXON's gross margin trajectory and COGS composition over the next two quarters to detect any undisclosed tariff-related cost pressures. Third, monitor whether AXON adds tariff impact language in future MD&amp;A filings as trade policy evolves, which would validate the current omission as immaterial rather than evasive.</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15:35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