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AZTA</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3  |  Borderline: 3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2025-08-06)</w:t>
            </w:r>
          </w:p>
        </w:tc>
        <w:tc>
          <w:tcPr>
            <w:tcW w:type="dxa" w:w="7200"/>
          </w:tcPr>
          <w:p>
            <w:pPr>
              <w:spacing w:before="60" w:after="60"/>
            </w:pPr>
            <w:r>
              <w:rPr>
                <w:rFonts w:ascii="Arial" w:hAnsi="Arial"/>
                <w:sz w:val="17"/>
              </w:rPr>
              <w:t>Vagueness: 0.2448  |  Complexity: 0.2873</w:t>
            </w:r>
          </w:p>
        </w:tc>
      </w:tr>
      <w:tr>
        <w:tc>
          <w:tcPr>
            <w:tcW w:type="dxa" w:w="2880"/>
            <w:shd w:val="clear" w:color="auto" w:fill="EBF3FB"/>
          </w:tcPr>
          <w:p>
            <w:pPr>
              <w:spacing w:before="60" w:after="60"/>
            </w:pPr>
            <w:r>
              <w:rPr>
                <w:rFonts w:ascii="Arial" w:hAnsi="Arial"/>
                <w:b/>
                <w:sz w:val="17"/>
              </w:rPr>
              <w:t>Prior (10-Q 2025-05-09)</w:t>
            </w:r>
          </w:p>
        </w:tc>
        <w:tc>
          <w:tcPr>
            <w:tcW w:type="dxa" w:w="7200"/>
          </w:tcPr>
          <w:p>
            <w:pPr>
              <w:spacing w:before="60" w:after="60"/>
            </w:pPr>
            <w:r>
              <w:rPr>
                <w:rFonts w:ascii="Arial" w:hAnsi="Arial"/>
                <w:sz w:val="17"/>
              </w:rPr>
              <w:t>Vagueness: 0.2654  |  Complexity: 0.2867</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-0.0206  |  Complexity: +0.0006</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Azenta Inc. (AZTA) presents a divergent disclosure risk profile: Claude Analysis flags MEDIUM concern around a coordinated reduction in China-related risk disclosures, while FinBERT ranks the company's vagueness as LOW relative to its life sciences sector. The statistical signal reflects AZTA's overall filing clarity, but qualitative analysis identifies targeted opacity in geopolitically sensitive areas — specifically the removal of BIOSECURE Act risk language concurrent with China cash repatriation. Supply chain counterparties should conduct targeted due diligence on AZTA's China manufacturing footprint and strategic repositioning.</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AZTA's FinBERT vagueness score of 0.2448 sits well below the sector mean of 0.5066, placing it in the bottom quartile of the 185-company universe. Vagueness has declined modestly across recent filings, and complexity remains stable. This LOW statistical signal reflects generally clear prose in aggregate. However, the sector-relative ranking may mask localized disclosure removals that do not substantially shift corpus-level metrics — a known limitation when targeted omissions occur within otherwise transparent filings.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AZTA's complete removal of its BIOSECURE Act and China supply chain risk factor (see 10-Q filed 2025-05-09, p.56). This risk factor previously detailed third-party manufacturing dependence in China and potential material adverse effects from legislative action. Its disappearance coincides with a $6.5 million tax charge from repatriating China subsidiary cash and a change in indefinite reinvestment assertion — actions suggesting strategic repositioning that the company has not contextualized for investors.</w:t>
      </w:r>
    </w:p>
    <w:p>
      <w:pPr>
        <w:spacing w:after="120" w:before="40"/>
      </w:pPr>
      <w:r>
        <w:rPr>
          <w:rFonts w:ascii="Arial" w:hAnsi="Arial"/>
          <w:i w:val="0"/>
          <w:color w:val="000000"/>
          <w:sz w:val="18"/>
        </w:rPr>
        <w:t>Compounding this concern, AZTA eliminated granular transformation cost disclosures — previously specifying asset write-downs, inventory write-downs, and consulting costs — replacing them with duplicated boilerplate language about operational optimization (see 10-Q filed 2025-08-06, p.36). Simultaneously, the company's MD&amp;A omits any tariff or trade policy discussion despite 39% international revenue exposure , a notable gap when peers with comparable footprints explicitly address these headwinds .</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AZTA's aggregate disclosure clarity outperforms most sector peers statistically. However, peer comparisons reveal qualitative gaps: companies with similar international exposure such as Veeco Instruments explicitly discuss tariff impacts and China engagement dynamics, while AZTA remains silent. The peer set spans life sciences and semiconductor equipment companies, which introduces some comparability limitations given differing China exposure profiles.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map AZTA's China manufacturing and service provider relationships to assess whether BIOSECURE Act exposure has genuinely diminished or merely been removed from disclosure. Second, request management commentary on tariff exposure and the strategic rationale behind the China cash repatriation and changed reinvestment assertion during the next earnings engagement. Third, monitor subsequent filings for restoration of transformation cost granularity to determine whether the boilerplate substitution was a one-quarter anomaly or a sustained pattern.</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15:36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