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AZZ</w:t>
      </w:r>
    </w:p>
    <w:p>
      <w:pPr>
        <w:spacing w:after="40"/>
      </w:pPr>
      <w:r>
        <w:rPr>
          <w:rFonts w:ascii="Arial" w:hAnsi="Arial"/>
          <w:b/>
          <w:color w:val="1F3D6B"/>
          <w:sz w:val="20"/>
        </w:rPr>
        <w:t xml:space="preserve">CLAUDE ANALYSIS: </w:t>
      </w:r>
      <w:r>
        <w:rPr>
          <w:rFonts w:ascii="Arial" w:hAnsi="Arial"/>
          <w:b/>
          <w:color w:val="388638"/>
          <w:sz w:val="20"/>
        </w:rPr>
        <w:t>LOW</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388638"/>
          <w:sz w:val="20"/>
        </w:rPr>
        <w:t>LOW</w:t>
      </w:r>
    </w:p>
    <w:p>
      <w:pPr>
        <w:spacing w:after="80"/>
      </w:pPr>
      <w:r>
        <w:rPr>
          <w:rFonts w:ascii="Arial" w:hAnsi="Arial"/>
          <w:color w:val="606060"/>
          <w:sz w:val="17"/>
        </w:rPr>
        <w:t>Generated: 09 April 2026  |  Genuine: 1  |  Borderline: 2  |  Dismissed: 3</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2025-07-09)</w:t>
            </w:r>
          </w:p>
        </w:tc>
        <w:tc>
          <w:tcPr>
            <w:tcW w:type="dxa" w:w="7200"/>
          </w:tcPr>
          <w:p>
            <w:pPr>
              <w:spacing w:before="60" w:after="60"/>
            </w:pPr>
            <w:r>
              <w:rPr>
                <w:rFonts w:ascii="Arial" w:hAnsi="Arial"/>
                <w:sz w:val="17"/>
              </w:rPr>
              <w:t>Vagueness: 0.1848  |  Complexity: 0.0674</w:t>
            </w:r>
          </w:p>
        </w:tc>
      </w:tr>
      <w:tr>
        <w:tc>
          <w:tcPr>
            <w:tcW w:type="dxa" w:w="2880"/>
            <w:shd w:val="clear" w:color="auto" w:fill="EBF3FB"/>
          </w:tcPr>
          <w:p>
            <w:pPr>
              <w:spacing w:before="60" w:after="60"/>
            </w:pPr>
            <w:r>
              <w:rPr>
                <w:rFonts w:ascii="Arial" w:hAnsi="Arial"/>
                <w:b/>
                <w:sz w:val="17"/>
              </w:rPr>
              <w:t>Prior (10-K 2025-04-21)</w:t>
            </w:r>
          </w:p>
        </w:tc>
        <w:tc>
          <w:tcPr>
            <w:tcW w:type="dxa" w:w="7200"/>
          </w:tcPr>
          <w:p>
            <w:pPr>
              <w:spacing w:before="60" w:after="60"/>
            </w:pPr>
            <w:r>
              <w:rPr>
                <w:rFonts w:ascii="Arial" w:hAnsi="Arial"/>
                <w:sz w:val="17"/>
              </w:rPr>
              <w:t>Vagueness: 0.7148  |  Complexity: 0.0454</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-0.5300  |  Complexity: +0.0220</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AZZ Inc. presents low supply chain disclosure risk based on converging signals: both the Claude Analysis and FinBERT statistical model register LOW concern. Disclosure quality is above-sector-average, with the company's latest filing scoring well below mean vagueness levels. Two minor findings—reduced granularity in corporate expense breakdowns and condensed legal accrual disclosures—merit routine monitoring but do not suggest systematic obfuscation. Recommendation: maintain standard surveillance cadence with no escalation required.</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AZZ's latest 10-Q (July 2025) posts a vagueness score of 0.1848, sitting 0.32 standard deviations below the 185-company sector mean of 0.5066 and well inside the first quartile. The vagueness trend shows a sharp decline from the most recent 10-K (0.7148), consistent with typical annual-to-quarterly filing compression rather than any deterioration. Complexity remains negligible at 0.0674. Overall, AZZ's quantitative disclosure profile is stronger than roughly three-quarters of industrial peers.</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most material finding is a meaningful reduction in corporate SGA expense granularity. The prior period itemized $7.4 million of cost drivers including specific severance, legal, and incentive compensation amounts, whereas the current filing attributes the increase solely to a $1.8 million Executive Retiree LTI Program and a generic "increase in employee benefits expense" (see 10-Q filed 2025-07-09, p.23). This limits visibility into discretionary management compensation and overhead trends. Separately, legal settlement and accrual disclosures that were previously quantified at the segment level have been consolidated into a catchall "cash items" category , obscuring whether new contingencies have arisen.</w:t>
      </w:r>
    </w:p>
    <w:p>
      <w:pPr>
        <w:spacing w:after="120" w:before="40"/>
      </w:pPr>
      <w:r>
        <w:rPr>
          <w:rFonts w:ascii="Arial" w:hAnsi="Arial"/>
          <w:i w:val="0"/>
          <w:color w:val="000000"/>
          <w:sz w:val="18"/>
        </w:rPr>
        <w:t>A secondary observation involves AZZ's geopolitical outlook language, which remains notably generic—acknowledging only that "it is difficult to predict future North American economic activity" (see 10-Q filed 2025-07-09, p.21)—despite the company's direct exposure to zinc and steel pricing, tariff-sensitive galvanizing operations, and recent legislative developments such as the OBBBA. While peers like MTRN enumerate specific policy risks, AZZ may address these more fully in its annual 10-K risk factors. This warrants verification but does not rise to a material red flag.</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Relative to the industrial sector universe, AZZ's disclosure quality ranks favorably on quantitative metrics, placing below the 25th percentile for vagueness. Qualitatively, the geopolitical outlook section trails more detailed peers, though the peer comparison is limited to a single comparator (MTRN), which may not fully represent the galvanizing/metal coatings subsector.</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should cross-reference the "cash items" line in AZZ's segment reconciliation tables against balance sheet legal accrual accounts to verify no material contingencies are being obscured. Second, review the upcoming fiscal 2026 10-K for whether corporate SGA granularity is restored and whether tariff and commodity risk disclosures are expanded to reflect current policy developments. No escalation to portfolio management is warranted at this time.</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15:36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