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BC</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6  |  Borderline: 4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0.3401  |  Complexity: 0.1211</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0.3138  |  Complexity: 0.1341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+0.0263  |  Complexity: -0.0130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Brunswick Corporation (BC) presents a divergent disclosure risk profile: Claude Analysis flags HIGH concern driven by systematic removal of quantitative detail across debt, liquidity, margins, and segment performance in the Q2 2025 10-Q, while FinBERT ranks the company's vagueness LOW relative to the industrial sector (16.65 percentage points below mean). The divergence likely reflects FinBERT capturing aggregate sentence-level clarity while missing the targeted elimination of specific numerical disclosures. Supply chain partners should treat this as an elevated monitoring priority requiring direct verification of BC's financial flexibility and operational performance.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BC's latest 10-Q vagueness score of 0.3401 sits well below the sector mean of 0.5066 and beneath the 25th percentile of 0.4199, placing it among the more clearly written filers statistically. The quarter-over-quarter increase of +0.0263 is modest. However, the sharp drop in sentence count from 778 (2024 10-K) to 158 (latest 10-Q) suggests disclosure compression that aggregate vagueness metrics may not fully capture — fewer sentences can score well individually while omitting material content entirely.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consequential finding is the complete disappearance of segment-level revenue decomposition, margin bridge analysis, and adjusted operating earnings reconciliation tables from MD&amp;A. The prior quarter provided granular drivers — volume, price/mix, currency, and acquisition impacts per segment — along with basis-point-level margin attribution (absorption -240 bps, warranty -130 bps, labor +200 bps). The current filing retains only a generic statement that price recovery "may be limited by competitive pressures" (see 10-Q filed 2025-07-30, p.38). This eliminates core analytical visibility into BC's four-segment business.</w:t>
      </w:r>
    </w:p>
    <w:p>
      <w:pPr>
        <w:spacing w:after="120" w:before="40"/>
      </w:pPr>
      <w:r>
        <w:rPr>
          <w:rFonts w:ascii="Arial" w:hAnsi="Arial"/>
          <w:i w:val="0"/>
          <w:color w:val="000000"/>
          <w:sz w:val="18"/>
        </w:rPr>
        <w:t>Equally concerning is the removal of comprehensive liquidity and debt disclosures. The Q1 filing detailed $2,484.1M total debt, 57% debt-to-capitalization, $997.0M borrowing capacity, and a -$44.4M free cash flow figure alongside forward-looking covenant cushion commentary . Concurrently, specific capital allocation targets — approximately $150M in capex and $80M in share repurchases — were replaced with language that management is "constantly evaluating capital strategy" (see 10-Q filed 2025-07-30, p.28). The simultaneous removal of leverage metrics and capital commitments at a company carrying $2.5B in debt during a period of dealer destocking is a material transparency reduction (see 10-Q filed 2025-07-30, p.38).</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the broader industrial sector, BC's statistical vagueness is low, but the qualitative pattern of targeted quantitative removal is atypical for a multi-segment manufacturer of its scale. Peer BWXT, for instance, maintains explicit long-term obligation quantification in its quarterly MD&amp;A. The peer comparison is limited by sector breadth; BC's direct marine/leisure peers are few in the 185-company universe, which may attenuate the FinBERT signal's diagnostic value.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covering downstream customers or channel partners of BC should take three steps: first, cross-reference BC's Q2 condensed financial statement footnotes and earnings call transcript to determine whether the removed segment, debt, and liquidity metrics were relocated rather than eliminated. Second, independently model BC's covenant headroom using balance sheet data and the 3.5x leverage threshold typical of its credit facilities, given the removal of management's own cushion commentary. Third, monitor the Q3 10-Q filing closely for whether disclosure granularity is restored — persistent degradation would warrant direct IR engagement and potential supply chain risk repricing.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