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BKR</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3  |  Borderline: 1  |  Dismissed: 2</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2025-07-23)</w:t>
            </w:r>
          </w:p>
        </w:tc>
        <w:tc>
          <w:tcPr>
            <w:tcW w:type="dxa" w:w="7200"/>
          </w:tcPr>
          <w:p>
            <w:pPr>
              <w:spacing w:before="60" w:after="60"/>
            </w:pPr>
            <w:r>
              <w:rPr>
                <w:rFonts w:ascii="Arial" w:hAnsi="Arial"/>
                <w:sz w:val="17"/>
              </w:rPr>
              <w:t>Vagueness: 0.6711  |  Complexity: 0.1459</w:t>
            </w:r>
          </w:p>
        </w:tc>
      </w:tr>
      <w:tr>
        <w:tc>
          <w:tcPr>
            <w:tcW w:type="dxa" w:w="2880"/>
            <w:shd w:val="clear" w:color="auto" w:fill="EBF3FB"/>
          </w:tcPr>
          <w:p>
            <w:pPr>
              <w:spacing w:before="60" w:after="60"/>
            </w:pPr>
            <w:r>
              <w:rPr>
                <w:rFonts w:ascii="Arial" w:hAnsi="Arial"/>
                <w:b/>
                <w:sz w:val="17"/>
              </w:rPr>
              <w:t>Prior (10-Q 2025-04-23)</w:t>
            </w:r>
          </w:p>
        </w:tc>
        <w:tc>
          <w:tcPr>
            <w:tcW w:type="dxa" w:w="7200"/>
          </w:tcPr>
          <w:p>
            <w:pPr>
              <w:spacing w:before="60" w:after="60"/>
            </w:pPr>
            <w:r>
              <w:rPr>
                <w:rFonts w:ascii="Arial" w:hAnsi="Arial"/>
                <w:sz w:val="17"/>
              </w:rPr>
              <w:t>Vagueness: 0.6711  |  Complexity: 0.1459</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+0.0000  |  Complexity: +0.0000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Baker Hughes Company (BKR) presents a divergent risk signal for supply chain monitoring: Claude Analysis flags MEDIUM disclosure degradation based on specific temporal removals, while FinBERT ranks BKR's vagueness as HIGH—sitting 16.5 percentage points above the sector mean and well above the 75th percentile. The divergence likely reflects BKR's persistently elevated baseline vagueness compounded by targeted content removals in the latest filings. Downstream procurement teams relying on BKR's public filings for supply chain risk assessment face reduced visibility. Recommend direct IR engagement and cross-referencing alternative data sources.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BKR's FinBERT vagueness score of 0.727 on its latest 10-K materially exceeds the oilfield services sector mean of 0.507 and the 75th percentile of 0.596, placing BKR among the least specific disclosers in the 185-company universe. The 10-K vagueness score ticked up from 0.718 to 0.727 year-over-year. While quarterly filings appear stable, their extremely small sentence counts (13 sentences) limit statistical reliability. The persistently high baseline vagueness explains the FinBERT HIGH signal even as quarter-over-quarter change is flat.</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BKR's only quantitative sustainability progress metric—a reported 28.3% reduction in Scope 1 and 2 emissions against a 2019 baseline—without any replacement figure . The current filing retains the aspirational 2030 and 2050 targets but strips investors of the sole datapoint needed to assess trajectory (see 10-Q filed 2025-07-23, p.22). For a company central to the energy transition supply chain, this omission is significant: it could signal stalled progress, a deliberate ESG disclosure pullback, or both.</w:t>
      </w:r>
    </w:p>
    <w:p>
      <w:pPr>
        <w:spacing w:after="120" w:before="40"/>
      </w:pPr>
      <w:r>
        <w:rPr>
          <w:rFonts w:ascii="Arial" w:hAnsi="Arial"/>
          <w:i w:val="0"/>
          <w:color w:val="000000"/>
          <w:sz w:val="18"/>
        </w:rPr>
        <w:t>Equally concerning is the deletion of specific macroeconomic risk monitoring language—covering tariffs, trade policy, oil price volatility, and regulatory changes—and its replacement with a generic truism about rig activity driving demand (see 10-Q filed 2025-07-23, p.21). This occurred during a period of escalating trade policy uncertainty, making the removal counter-cyclical. Peer NOV, by contrast, provides granular rig count data (worldwide average down 6% to 1,597 rigs) in the same MD&amp;A context , underscoring BKR's relative opacity on demand-side fundamentals.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BKR's MD&amp;A market outlook is notably thinner than peers NOV and TechnipFMC, both of which provide quantitative demand indicators or directional supply commentary. BKR offers only definitional statements where peers offer actionable data. The peer comparison is limited to available oilfield services filings and may not capture the full competitive set, but the pattern is directionally clear: BKR discloses less forward-looking market context than sector norms.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verify whether BKR's 2024 Corporate Sustainability Report has been published and whether it contains updated Scope 1/2 emissions data that compensates for the 10-Q omission. Second, during the next earnings call or IR engagement, directly ask management whether the removal of tariff and trade policy risk language reflects a relocation to other filing sections or a deliberate reduction in specificity. Third, supplement BKR's sparse rig count disclosure with Baker Hughes' own publicly issued weekly rig count data to independently assess demand alignment with reported revenue trends.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15:37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