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BWXT</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1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2025-08-04)</w:t>
            </w:r>
          </w:p>
        </w:tc>
        <w:tc>
          <w:tcPr>
            <w:tcW w:type="dxa" w:w="7200"/>
          </w:tcPr>
          <w:p>
            <w:pPr>
              <w:spacing w:before="60" w:after="60"/>
            </w:pPr>
            <w:r>
              <w:rPr>
                <w:rFonts w:ascii="Arial" w:hAnsi="Arial"/>
                <w:sz w:val="17"/>
              </w:rPr>
              <w:t>Vagueness: 0.5824  |  Complexity: 0.0339</w:t>
            </w:r>
          </w:p>
        </w:tc>
      </w:tr>
      <w:tr>
        <w:tc>
          <w:tcPr>
            <w:tcW w:type="dxa" w:w="2880"/>
            <w:shd w:val="clear" w:color="auto" w:fill="EBF3FB"/>
          </w:tcPr>
          <w:p>
            <w:pPr>
              <w:spacing w:before="60" w:after="60"/>
            </w:pPr>
            <w:r>
              <w:rPr>
                <w:rFonts w:ascii="Arial" w:hAnsi="Arial"/>
                <w:b/>
                <w:sz w:val="17"/>
              </w:rPr>
              <w:t>Prior (10-Q 2025-05-05)</w:t>
            </w:r>
          </w:p>
        </w:tc>
        <w:tc>
          <w:tcPr>
            <w:tcW w:type="dxa" w:w="7200"/>
          </w:tcPr>
          <w:p>
            <w:pPr>
              <w:spacing w:before="60" w:after="60"/>
            </w:pPr>
            <w:r>
              <w:rPr>
                <w:rFonts w:ascii="Arial" w:hAnsi="Arial"/>
                <w:sz w:val="17"/>
              </w:rPr>
              <w:t>Vagueness: 0.5745  |  Complexity: 0.0326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+0.0079  |  Complexity: +0.0013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BWX Technologies (BWXT), a critical upstream supplier of nuclear components and fuel to government and commercial programs, presents a MEDIUM disclosure risk on both the Claude Analysis and FinBERT statistical signals. Temporal degradation is concentrated around the removal of quantitative liquidity disclosures coincident with a near-doubling of pension obligations, and the replacement of specific government contracting context with generic boilerplate. These changes reduce forward visibility into BWXT's financial flexibility and revenue pipeline. We recommend enhanced monitoring and direct engagement with BWXT's investor relations team.</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BWXT's latest 10-Q vagueness score of 0.5824 sits above the sector 75th percentile (0.5957 threshold) and +7.6 basis points above the 185-company sector mean of 0.5066, placing the company in the upper quartile for linguistic vagueness. While 10-Q vagueness improved from 10-K levels, the most recent quarter showed a slight uptick (+0.8 points) versus the prior 10-Q. Annual filings remain consistently elevated near 0.68, suggesting structural opacity rather than episodic deterioration.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simultaneous removal of restricted cash breakdowns, long-term investment portfolio detail, and surety bond facility disclosures at a time when underfunded pension and postretirement obligations nearly doubled to approximately $190.3 million—likely reflecting the Kinectrics acquisition. The prior filing itemized $6.5 million in restricted cash and $8.5 million in mutual fund investments; the current filing strips this granularity while noting only the aggregate obligation figure (see 10-Q filed 2025-08-04, p.25). This creates a gap in assessing BWXT's liquidity cushion and collateral commitments precisely when balance sheet leverage is increasing.</w:t>
      </w:r>
    </w:p>
    <w:p>
      <w:pPr>
        <w:spacing w:after="120" w:before="40"/>
      </w:pPr>
      <w:r>
        <w:rPr>
          <w:rFonts w:ascii="Arial" w:hAnsi="Arial"/>
          <w:i w:val="0"/>
          <w:color w:val="000000"/>
          <w:sz w:val="18"/>
        </w:rPr>
        <w:t>Separately, BWXT replaced detailed language about government contract award timing—including the relationship between Congressional budget cycles and program values—with a single generic sentence about being subject to the U.S. Government appropriations cycle (see 10-Q filed 2025-08-04, p.25). For a company where government operations drive the majority of revenue, this reduction in pipeline visibility is significant. Additionally, the MD&amp;A for the newly acquired CANDU segment describes capabilities but omits supply chain risk discussion despite BWXT's expanded international footprint across 20 Kinectrics sites (see 10-Q filed 2025-08-04, p.26).</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BWXT's vagueness scores consistently exceed the sector mean, though the company is generally more transparent than defense peers on technical program detail. The peer comparison to Power Solutions International (PSIX) on supply chain disclosure highlights a gap: PSIX explicitly discusses tariff mitigation and sourcing agility, while BWXT's MD&amp;A is silent on these risks. The limited overlap between BWXT's nuclear-specialized operations and available peers is a known limitation of this comparison.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BWXT's 10-K Risk Factors section to determine whether supply chain and tariff risks related to the Kinectrics acquisition are addressed outside the MD&amp;A excerpts flagged here. Second, engage BWXT investor relations to clarify whether restricted cash, surety bond facilities, and long-term investment disclosures were consolidated elsewhere in the filing or eliminated entirely. Third, monitor upcoming Q3 and annual filings for restoration of government contract award timing language, particularly given the current federal budget environment.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