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BW</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0  |  Borderline: 0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2025-08-11)</w:t>
            </w:r>
          </w:p>
        </w:tc>
        <w:tc>
          <w:tcPr>
            <w:tcW w:type="dxa" w:w="7200"/>
          </w:tcPr>
          <w:p>
            <w:pPr>
              <w:spacing w:before="60" w:after="60"/>
            </w:pPr>
            <w:r>
              <w:rPr>
                <w:rFonts w:ascii="Arial" w:hAnsi="Arial"/>
                <w:sz w:val="17"/>
              </w:rPr>
              <w:t>Vagueness: 0.8580  |  Complexity: 0.2394</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0.8460  |  Complexity: 0.2387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+0.0120  |  Complexity: +0.0007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Babcock &amp; Wilcox Enterprises (BW) presents a divergent signal profile: Claude Analysis rates disclosure risk as LOW, finding no genuine degradation, while FinBERT ranks BW's absolute vagueness as HIGH—sitting 35 percentile points above the sector mean. This divergence stems from BW's detailed but linguistically complex filings and poor peer comparables in the FinBERT universe. BW's precarious financial condition warrants monitoring, but no immediate supply chain disclosure alarm is justified. Recommend maintaining standard surveillance with enhanced attention to debt covenant language.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BW's FinBERT vagueness scores are persistently elevated, with the latest 10-K at 0.733 versus a sector mean of 0.507, placing BW well above the 75th percentile (0.596). The quarterly filings score even higher (0.846–0.867), though these are based on very small sentence counts (13–14), limiting statistical reliability. The 10-K trend is essentially flat year-over-year (+0.005), suggesting no active deterioration but a structurally high baseline vagueness relative to the industrial sector.</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Claude deep-dive concluded that all five flagged items were false positives resulting from inverted comparison logic—BW was actually the more transparent filer in each case. BW provides extensive quantitative detail on warranty provisions, pension obligations, debt restructuring, and operational risks. The peer set (FGI Industries and Omega Flex) operates in kitchen/bath products and flexible hose manufacturing, respectively, making cross-company disclosure comparisons largely uninformative. This peer mismatch is a known limitation of the current screening methodology for niche industrial companies like BW.</w:t>
      </w:r>
    </w:p>
    <w:p>
      <w:pPr>
        <w:spacing w:after="120" w:before="40"/>
      </w:pPr>
      <w:r>
        <w:rPr>
          <w:rFonts w:ascii="Arial" w:hAnsi="Arial"/>
          <w:i w:val="0"/>
          <w:color w:val="000000"/>
          <w:sz w:val="18"/>
        </w:rPr>
        <w:t>The more salient finding is contextual: BW carries an accumulated deficit of $1.73 billion and a stockholders' deficit of $308.7 million, with multiple debt amendments featuring springing maturities. Companies under this degree of financial stress historically exhibit disclosure degradation as conditions tighten. The elevated FinBERT vagueness baseline may reflect inherently complex restructuring language rather than obfuscation, but it also means any incremental pullback in specificity could be harder to detect against an already-high noise floor.</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comparisons are unreliable for BW given that the matched companies (FGI Industries, Omega Flex) operate in fundamentally different end markets. This is a known limitation for specialty industrial boiler and energy services firms with few direct public comparables at similar market capitalizations. Sector-wide FinBERT rankings remain useful directionally but should be interpreted cautiously.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establish a BW-specific vagueness baseline using its 10-K filings (currently ~0.73) and monitor for deviations exceeding 3–5% in future filings, which would be more meaningful than sector-relative comparisons given poor peer fit. Second, given BW's leveraged balance sheet, analysts should manually track covenant compliance language and debt amendment disclosures each quarter for any reduction in specificity. Third, cross-reference BW's disclosure cadence against its debt maturity schedule to flag periods of elevated non-disclosure risk.</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