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CAT</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3  |  Dismissed: 10</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0.3035  |  Complexity: 0.0608</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0.3332  |  Complexity: 0.0823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-0.0297  |  Complexity: -0.0215</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Caterpillar Inc. (CAT) presents minimal supply chain disclosure risk. Both the Claude Analysis signal (LOW) and the FinBERT statistical signal (LOW) converge, indicating stable and above-average transparency relative to the industrial machinery sector. CAT's vagueness score sits more than 20 percentage points below the sector mean, and the latest filing shows improving clarity. Only one genuine flag was identified—a narrow covenant definition removal. No escalation is warranted; routine monitoring is sufficient.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CAT's latest 10-Q vagueness score of 0.3035 is well below the sector mean of 0.5066 and beneath the 25th percentile threshold of 0.4199, placing the company among the most transparent filers in a 185-company industrial universe. The most recent quarter-over-quarter change shows vagueness declining by 3 basis points and complexity declining by 2 basis points, reinforcing a favorable trajectory. There is no evidence of disclosure degradation on a statistical basis.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concern involves CAT's removal of the explicit consolidated net worth covenant definition from its Credit Facility disclosure. The prior filing specified the metric as shareholders' equity including preferred stock but excluding pension adjustments within AOCI (see 10-Q filed 2025-08-06, p.64), while the current filing substitutes a generic statement that covenants are "reported as calculated under the Credit Facility and not pursuant to U.S. GAAP" (see 10-Q filed 2025-08-06, p.64). This eliminates investors' ability to independently replicate the covenant calculation, though it is a narrow issue unlikely to affect supply chain risk assessment.</w:t>
      </w:r>
    </w:p>
    <w:p>
      <w:pPr>
        <w:spacing w:after="120" w:before="40"/>
      </w:pPr>
      <w:r>
        <w:rPr>
          <w:rFonts w:ascii="Arial" w:hAnsi="Arial"/>
          <w:i w:val="0"/>
          <w:color w:val="000000"/>
          <w:sz w:val="18"/>
        </w:rPr>
        <w:t>Notably, CAT's tariff disclosure is industry-leading. The company quantifies a $1.3–$1.5 billion tariff impact with segment-level allocation and explicitly attributes unfavorable manufacturing costs to higher tariffs . Three borderline flags—relating to non-GAAP discussion placement, segment product listings, and peer comparisons—were assessed as likely filing reorganization artifacts rather than genuine transparency reductions.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CAT discloses materially more than peers such as CNH Industrial, which provides no quantified tariff impact estimate despite comparable global trade exposure. CAT's vagueness score is roughly 200 basis points below the sector mean, placing it in the top quartile of disclosure quality. Note that the peer set spans companies of varying size and complexity, which may limit direct comparability.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verify whether the consolidated net worth covenant definition has migrated to the credit facility exhibit filed with the 10-Q or the most recent 10-K rather than being eliminated entirely. On the next earnings call, confirm that the covenant calculation methodology is unchanged. No broader supply chain due diligence escalation is needed—CAT's disclosure quality remains robust and should continue on standard semi-annual monitoring.</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