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CCK</w:t>
      </w:r>
    </w:p>
    <w:p>
      <w:pPr>
        <w:spacing w:after="40"/>
      </w:pPr>
      <w:r>
        <w:rPr>
          <w:rFonts w:ascii="Arial" w:hAnsi="Arial"/>
          <w:b/>
          <w:color w:val="1F3D6B"/>
          <w:sz w:val="20"/>
        </w:rPr>
        <w:t xml:space="preserve">CLAUDE ANALYSIS: </w:t>
      </w:r>
      <w:r>
        <w:rPr>
          <w:rFonts w:ascii="Arial" w:hAnsi="Arial"/>
          <w:b/>
          <w:color w:val="388638"/>
          <w:sz w:val="20"/>
        </w:rPr>
        <w:t>LOW</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0  |  Borderline: 1  |  Dismissed: 4</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2025-07-29)</w:t>
            </w:r>
          </w:p>
        </w:tc>
        <w:tc>
          <w:tcPr>
            <w:tcW w:type="dxa" w:w="7200"/>
          </w:tcPr>
          <w:p>
            <w:pPr>
              <w:spacing w:before="60" w:after="60"/>
            </w:pPr>
            <w:r>
              <w:rPr>
                <w:rFonts w:ascii="Arial" w:hAnsi="Arial"/>
                <w:sz w:val="17"/>
              </w:rPr>
              <w:t>Vagueness: 0.2121  |  Complexity: 0.3154</w:t>
            </w:r>
          </w:p>
        </w:tc>
      </w:tr>
      <w:tr>
        <w:tc>
          <w:tcPr>
            <w:tcW w:type="dxa" w:w="2880"/>
            <w:shd w:val="clear" w:color="auto" w:fill="EBF3FB"/>
          </w:tcPr>
          <w:p>
            <w:pPr>
              <w:spacing w:before="60" w:after="60"/>
            </w:pPr>
            <w:r>
              <w:rPr>
                <w:rFonts w:ascii="Arial" w:hAnsi="Arial"/>
                <w:b/>
                <w:sz w:val="17"/>
              </w:rPr>
              <w:t>Prior (10-Q 2025-05-02)</w:t>
            </w:r>
          </w:p>
        </w:tc>
        <w:tc>
          <w:tcPr>
            <w:tcW w:type="dxa" w:w="7200"/>
          </w:tcPr>
          <w:p>
            <w:pPr>
              <w:spacing w:before="60" w:after="60"/>
            </w:pPr>
            <w:r>
              <w:rPr>
                <w:rFonts w:ascii="Arial" w:hAnsi="Arial"/>
                <w:sz w:val="17"/>
              </w:rPr>
              <w:t>Vagueness: 0.2478  |  Complexity: 0.3376</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-0.0357  |  Complexity: -0.0222</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Crown Holdings, Inc. (CCK) presents minimal supply chain disclosure risk. Both the Claude Analysis signal (LOW) and the FinBERT statistical signal (LOW) converge on a benign assessment. CCK's vagueness score of 0.21 in its latest 10-Q sits well below the sector mean of 0.51, indicating above-average transparency relative to 185 packaging and materials peers. One borderline flag regarding litigation and environmental disclosure warrants routine verification but does not suggest deliberate obfuscation. No escalated monitoring is recommended at this time.</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CCK's latest quarterly vagueness score of 0.21 places it nearly 0.30 below the sector mean, ranking comfortably beneath the 25th percentile threshold of 0.42. The trend is favorable: vagueness declined 3.6 points and complexity declined 2.2 points versus the prior quarter. While the 2025 10-K showed an elevated vagueness reading of 0.52, this appears to be a one-filing anomaly, as subsequent quarterly filings reverted to strong clarity levels.</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sole borderline flag involves a peer divergence in litigation and environmental disclosure. Ball Corporation explicitly discusses hazardous waste site cleanup responsibilities, while CCK's reviewed MD&amp;A passage focuses narrowly on tax rate dynamics . This gap likely reflects sectional allocation rather than omission—CCK almost certainly addresses environmental and legal contingencies in Part II Item 1 and the notes to financial statements, which were outside the reviewed excerpt. The peer comparison sentence from Ball highlights standard estimation language common across the sector.</w:t>
      </w:r>
    </w:p>
    <w:p>
      <w:pPr>
        <w:spacing w:after="120" w:before="40"/>
      </w:pPr>
      <w:r>
        <w:rPr>
          <w:rFonts w:ascii="Arial" w:hAnsi="Arial"/>
          <w:i w:val="0"/>
          <w:color w:val="000000"/>
          <w:sz w:val="18"/>
        </w:rPr>
        <w:t>Four additional flags were dismissed as false positives. Notably, changes in debt financing disclosure language traced directly to CCK's repayment of $875 million in notes—a substantive event explaining the disclosure shift, not obfuscation. Across the filing universe, CCK generally provides more granular disclosure than peers rather than less, which reinforces the low-risk assessment.</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Against a 185-company sector universe, CCK ranks as a disclosure leader, sitting well below the 25th percentile for vagueness. Peer comparison with Ball Corporation revealed no material transparency gap; the single divergence flagged reflects filing section structure rather than content omission. Peer selection is limited to the packaging subsector, which is appropriate for CCK's operations.</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confirm that CCK's latest 10-Q and 10-K include substantive litigation and environmental liability disclosures in Part II Item 1 and the financial statement notes, cross-referencing against Ball Corporation's hazardous waste disclosures to validate comparable coverage. Additionally, monitor whether the 2025 10-K's elevated vagueness score (0.52) recurs in the next annual filing, which could indicate a structural shift in disclosure practices. No further escalation is warranted absent new evidence.</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15:38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