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CECO</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2  |  Borderline: 3  |  Dismissed: 7</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2025-07-29)</w:t>
            </w:r>
          </w:p>
        </w:tc>
        <w:tc>
          <w:tcPr>
            <w:tcW w:type="dxa" w:w="7200"/>
          </w:tcPr>
          <w:p>
            <w:pPr>
              <w:spacing w:before="60" w:after="60"/>
            </w:pPr>
            <w:r>
              <w:rPr>
                <w:rFonts w:ascii="Arial" w:hAnsi="Arial"/>
                <w:sz w:val="17"/>
              </w:rPr>
              <w:t>Vagueness: 0.4092  |  Complexity: 0.0705</w:t>
            </w:r>
          </w:p>
        </w:tc>
      </w:tr>
      <w:tr>
        <w:tc>
          <w:tcPr>
            <w:tcW w:type="dxa" w:w="2880"/>
            <w:shd w:val="clear" w:color="auto" w:fill="EBF3FB"/>
          </w:tcPr>
          <w:p>
            <w:pPr>
              <w:spacing w:before="60" w:after="60"/>
            </w:pPr>
            <w:r>
              <w:rPr>
                <w:rFonts w:ascii="Arial" w:hAnsi="Arial"/>
                <w:b/>
                <w:sz w:val="17"/>
              </w:rPr>
              <w:t>Prior (10-Q 2025-04-29)</w:t>
            </w:r>
          </w:p>
        </w:tc>
        <w:tc>
          <w:tcPr>
            <w:tcW w:type="dxa" w:w="7200"/>
          </w:tcPr>
          <w:p>
            <w:pPr>
              <w:spacing w:before="60" w:after="60"/>
            </w:pPr>
            <w:r>
              <w:rPr>
                <w:rFonts w:ascii="Arial" w:hAnsi="Arial"/>
                <w:sz w:val="17"/>
              </w:rPr>
              <w:t>Vagueness: 0.4096  |  Complexity: 0.0657</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-0.0004  |  Complexity: +0.0048</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CECO Environmental Corp. presents a divergent signal profile: the Claude Analysis flags MEDIUM concern driven by temporal disclosure reductions in risk factors and acquisition cost acknowledgments, while FinBERT ranks vagueness as LOW relative to the Industrial sector (below the sector mean by ~10 percentage points). The divergence likely reflects CECO's adequate baseline language offset by meaningful quarter-over-quarter removals of specific risk enumeration. Supply chain analysts should verify whether removed risk disclosures signal de-emphasis of acquisition integration challenges or mere consolidation by reference to the 10-K. Recommend enhanced monitoring.</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CECO's FinBERT vagueness score of 0.409 in its latest 10-Q sits below the sector mean of 0.507 and near the 25th percentile (0.420), indicating relatively specific language by sector standards. The trend is essentially flat: vagueness declined by a negligible 0.0004 from the prior quarter. However, complexity rose modestly (+0.0048), driven by a shorter filing with denser prose. Annual filings (10-Ks at ~0.735) are notably more vague than quarterly filings, a pattern consistent with boilerplate-heavy annual risk factor sections.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removal of an explicit acknowledgment that CECO "has incurred substantial expense and income associated with acquisitions" , replaced only by a vague forward-looking statement about treating impacts as non-GAAP special items (see 10-Q filed 2025-07-29, p.38). For a company actively integrating multiple acquisitions, this deletion may obscure the recurring nature of integration costs and inflate the perceived quality of adjusted earnings. Analysts should scrutinize non-GAAP reconciliation tables for the magnitude and persistence of excluded items.</w:t>
      </w:r>
    </w:p>
    <w:p>
      <w:pPr>
        <w:spacing w:after="120" w:before="40"/>
      </w:pPr>
      <w:r>
        <w:rPr>
          <w:rFonts w:ascii="Arial" w:hAnsi="Arial"/>
          <w:i w:val="0"/>
          <w:color w:val="000000"/>
          <w:sz w:val="18"/>
        </w:rPr>
        <w:t>The second concern involves the disappearance of a detailed enumerated risk factor list from both the Risk Factors and MD&amp;A sections. The prior filing itemized specific exposures including fixed-price contract risk, tariff impacts, debt levels, and restructuring challenges (see 10-Q filed 2025-07-29, p.46). The current filing retains only generic supply chain mitigation language. While this may reflect standard quarterly incorporation by reference to the 10-K, the reduction narrows the lens through which investors can assess CECO's evolving risk profile during a period of active M&amp;A and tariff uncertainty.</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CECO's FinBERT vagueness sits well below the sector interquartile range, suggesting above-average baseline disclosure specificity among 185 industrial peers. The Claude Analysis notably found that most peer divergence flags were false positives where CECO was actually the more transparent filer. Peer selection limitations exist — comparisons to companies like PPIH have limited analogical value given differing business models.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First, review CECO's non-GAAP reconciliation tables across the last four quarters to quantify items classified as acquisition-related "special items" and assess whether these costs are functionally recurring. Second, compare the enumerated risk factors in the FY2024 10-K against the Q2 2025 10-Q to confirm whether the removed risk list is incorporated by reference or genuinely eliminated. Third, examine Note 14 of the condensed consolidated financials for any undisclosed legal proceedings arising from CECO's recent acquisition activity, including the Profire transaction.</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15:39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