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CIIT</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1  |  Borderline: 3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2025-06-06)</w:t>
            </w:r>
          </w:p>
        </w:tc>
        <w:tc>
          <w:tcPr>
            <w:tcW w:type="dxa" w:w="7200"/>
          </w:tcPr>
          <w:p>
            <w:pPr>
              <w:spacing w:before="60" w:after="60"/>
            </w:pPr>
            <w:r>
              <w:rPr>
                <w:rFonts w:ascii="Arial" w:hAnsi="Arial"/>
                <w:sz w:val="17"/>
              </w:rPr>
              <w:t>Vagueness: 0.4561  |  Complexity: 0.0874</w:t>
            </w:r>
          </w:p>
        </w:tc>
      </w:tr>
      <w:tr>
        <w:tc>
          <w:tcPr>
            <w:tcW w:type="dxa" w:w="2880"/>
            <w:shd w:val="clear" w:color="auto" w:fill="EBF3FB"/>
          </w:tcPr>
          <w:p>
            <w:pPr>
              <w:spacing w:before="60" w:after="60"/>
            </w:pPr>
            <w:r>
              <w:rPr>
                <w:rFonts w:ascii="Arial" w:hAnsi="Arial"/>
                <w:b/>
                <w:sz w:val="17"/>
              </w:rPr>
              <w:t>Prior (10-Q 2025-03-12)</w:t>
            </w:r>
          </w:p>
        </w:tc>
        <w:tc>
          <w:tcPr>
            <w:tcW w:type="dxa" w:w="7200"/>
          </w:tcPr>
          <w:p>
            <w:pPr>
              <w:spacing w:before="60" w:after="60"/>
            </w:pPr>
            <w:r>
              <w:rPr>
                <w:rFonts w:ascii="Arial" w:hAnsi="Arial"/>
                <w:sz w:val="17"/>
              </w:rPr>
              <w:t>Vagueness: 0.4787  |  Complexity: 0.0687</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-0.0226  |  Complexity: +0.0187</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CIIT Corp., a Hong Kong-based asset-light logistics intermediary, presents a MEDIUM supply chain transparency risk on both the Claude Analysis and FinBERT signals. The company removed material contingent asset valuation language between filings and maintains near-absent supply chain and key-person risk disclosures despite 100% vendor dependency and collapsing gross margins (13% to 3%). FinBERT vagueness sits near the sector median. Portfolio managers sourcing logistics services through CIIT or similarly structured intermediaries should escalate vendor due diligence and monitor for further disclosure deterioration.</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CIIT's latest FinBERT vagueness score of 0.456 sits modestly below the sector mean of 0.507, placing it near the 50th percentile among 185 peers. The trend is constructive: vagueness declined sharply from 0.966 in the initial 10-K to current levels, though complexity has risen. The improving trajectory partially reflects filing maturation post-IPO rather than genuine transparency gains, as substantive risk language remains thin despite growing operational headwinds.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removal of contingent asset valuation language between filings. The prior 10-K explicitly stated assets would only be realized if the offering succeeded and disclosed that payments were accrued as assets based on anticipated offering success; the current filing truncates this to a generic capital expenditure statement . This eliminates investor visibility into whether balance sheet items remain contingent on external financing events .</w:t>
      </w:r>
    </w:p>
    <w:p>
      <w:pPr>
        <w:spacing w:after="120" w:before="40"/>
      </w:pPr>
      <w:r>
        <w:rPr>
          <w:rFonts w:ascii="Arial" w:hAnsi="Arial"/>
          <w:i w:val="0"/>
          <w:color w:val="000000"/>
          <w:sz w:val="18"/>
        </w:rPr>
        <w:t>Equally concerning is the near-total absence of supply chain risk disclosure for a company that owns no transportation assets and depends entirely on third-party carriers. CIIT's own MD&amp;A reveals vendor costs are compressing margins severely, yet the filing offers no discussion of carrier concentration, contract duration, or pricing power dynamics . The company's critical accounting estimates section generically denies any high-uncertainty estimates despite the contingent asset history and razor-thin margins .</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CIIT's disclosure depth falls meaningfully below logistics and technology peers of comparable or even smaller scale. Key-person risk, supply chain concentration, and critical accounting estimate discussions are either absent or boilerplate. A known limitation is that the peer set includes cross-sector comparisons (e.g., LTRX, an IoT company), which reduces direct comparability but does not diminish the absolute sparsity of CIIT's risk disclosures.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independently assess CIIT's balance sheet for residual contingent assets tied to offering proceeds and verify whether the accounting treatment flagged in prior filings persists without disclosure. Direct inquiry to management regarding carrier concentration, top-five vendor revenue share, and contract tenor is warranted given the disclosure gap. Finally, analysts should evaluate key-person dependency by confirming whether customer and vendor contracts are held at the entity level versus personally by the CEO.</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15:39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