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CMCO</w:t>
      </w:r>
    </w:p>
    <w:p>
      <w:pPr>
        <w:spacing w:after="40"/>
      </w:pPr>
      <w:r>
        <w:rPr>
          <w:rFonts w:ascii="Arial" w:hAnsi="Arial"/>
          <w:b/>
          <w:color w:val="1F3D6B"/>
          <w:sz w:val="20"/>
        </w:rPr>
        <w:t xml:space="preserve">CLAUDE ANALYSIS: </w:t>
      </w:r>
      <w:r>
        <w:rPr>
          <w:rFonts w:ascii="Arial" w:hAnsi="Arial"/>
          <w:b/>
          <w:color w:val="C00000"/>
          <w:sz w:val="20"/>
        </w:rPr>
        <w:t>HIGH</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5  |  Borderline: 4  |  Dismissed: 4</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2025-07-30)</w:t>
            </w:r>
          </w:p>
        </w:tc>
        <w:tc>
          <w:tcPr>
            <w:tcW w:type="dxa" w:w="7200"/>
          </w:tcPr>
          <w:p>
            <w:pPr>
              <w:spacing w:before="60" w:after="60"/>
            </w:pPr>
            <w:r>
              <w:rPr>
                <w:rFonts w:ascii="Arial" w:hAnsi="Arial"/>
                <w:sz w:val="17"/>
              </w:rPr>
              <w:t>Vagueness: 0.2867  |  Complexity: 0.2079</w:t>
            </w:r>
          </w:p>
        </w:tc>
      </w:tr>
      <w:tr>
        <w:tc>
          <w:tcPr>
            <w:tcW w:type="dxa" w:w="2880"/>
            <w:shd w:val="clear" w:color="auto" w:fill="EBF3FB"/>
          </w:tcPr>
          <w:p>
            <w:pPr>
              <w:spacing w:before="60" w:after="60"/>
            </w:pPr>
            <w:r>
              <w:rPr>
                <w:rFonts w:ascii="Arial" w:hAnsi="Arial"/>
                <w:b/>
                <w:sz w:val="17"/>
              </w:rPr>
              <w:t>Prior (10-K 2025-05-28)</w:t>
            </w:r>
          </w:p>
        </w:tc>
        <w:tc>
          <w:tcPr>
            <w:tcW w:type="dxa" w:w="7200"/>
          </w:tcPr>
          <w:p>
            <w:pPr>
              <w:spacing w:before="60" w:after="60"/>
            </w:pPr>
            <w:r>
              <w:rPr>
                <w:rFonts w:ascii="Arial" w:hAnsi="Arial"/>
                <w:sz w:val="17"/>
              </w:rPr>
              <w:t>Vagueness: 0.7803  |  Complexity: 0.0475</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-0.4936  |  Complexity: +0.1604</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Columbus McKinnon Corporation (CMCO) presents elevated supply chain monitoring risk based on systematic removal of tariff, trade, and restructuring disclosures from its most recent 10-Q — flagged as HIGH by Claude Analysis across five genuine findings. The FinBERT statistical signal is LOW, ranking below the sector mean in vagueness, creating a notable divergence likely explained by CMCO's quarterly filings appearing clean while annual filings carry higher vagueness scores. The qualitative degradation pattern — eliminating Mexico and China sourcing specifics during active tariff escalation — warrants immediate supplier due diligence engagement.</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CMCO's latest 10-Q vagueness score of 0.287 sits well below the sector mean of 0.507 (negative 0.22 deviation), placing it in approximately the bottom quartile for vagueness — ostensibly a positive reading. However, the filing-level trend reveals a structural pattern: 10-K filings score roughly 0.78 in vagueness while 10-Qs cluster near 0.27, suggesting the FinBERT signal largely captures filing-type differences rather than genuine transparency improvement. The sector-relative LOW designation should be interpreted cautiously given this artifact.</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material finding is the wholesale removal of tariff and supply chain geography disclosures during a period of heightened U.S. trade policy uncertainty. Prior filings explicitly identified CMCO's exposure to Mexican manufacturing tariffs, China/Asia sourcing for hoists, and a new Monterrey facility — all eliminated from the current 10-Q (see 10-K filed 2025-05-28, p.24). The company previously quantified approximately 43% of net sales from non-U.S. markets and disclosed dividend repatriation restrictions — both metrics now absent (see 10-Q filed 2025-02-10, p.40), removing key inputs for assessing currency and geopolitical sensitivity.</w:t>
      </w:r>
    </w:p>
    <w:p>
      <w:pPr>
        <w:spacing w:after="120" w:before="40"/>
      </w:pPr>
      <w:r>
        <w:rPr>
          <w:rFonts w:ascii="Arial" w:hAnsi="Arial"/>
          <w:i w:val="0"/>
          <w:color w:val="000000"/>
          <w:sz w:val="18"/>
        </w:rPr>
        <w:t>Equally concerning is the replacement of specific restructuring financials — $3.6 million in fixed asset impairment, $3.3 million in ROU lease impairment, and $1.1 million in severance — with generic references to "business simplification" and "operational excellence" . Named facility relocations (Charlotte to Monterrey, Precision Conveyance consolidation into Hartland) have disappeared entirely from the narrative (see 10-Q filed 2025-07-30, p.29), obscuring the cost trajectory and completion status of projects that directly affect CMCO's supply chain configuration and tariff exposure profile.</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CMCO's current supply chain language has converged toward the vagueness level of peers such as Manitowoc (MTW), which offers only generic tariff mentions. While CMCO remains marginally more detailed than sector minimums, the gap has narrowed materially from prior periods. Note that the peer set for this industrial lifting/material handling niche is limited, and peer comparisons should be weighted accordingly.</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holding positions with CMCO supply chain exposure should take three steps: first, directly engage CMCO investor relations to request current-period tariff cost impacts on the Monterrey and Asia sourcing operations, specifically quantifying margin pressure from U.S.-Mexico and U.S.-China duties. Second, cross-reference the eliminated restructuring figures against the upcoming 10-K to determine whether disclosure was deferred or permanently removed. Third, build an independent estimate of CMCO's geographic revenue and cost-of-goods exposure using customs data and trade databases to compensate for the withdrawn 43% international sales metric.</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15:39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