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CMI</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1  |  Dismissed: 6</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2025-08-05)</w:t>
            </w:r>
          </w:p>
        </w:tc>
        <w:tc>
          <w:tcPr>
            <w:tcW w:type="dxa" w:w="7200"/>
          </w:tcPr>
          <w:p>
            <w:pPr>
              <w:spacing w:before="60" w:after="60"/>
            </w:pPr>
            <w:r>
              <w:rPr>
                <w:rFonts w:ascii="Arial" w:hAnsi="Arial"/>
                <w:sz w:val="17"/>
              </w:rPr>
              <w:t>Vagueness: 0.2947  |  Complexity: 0.0660</w:t>
            </w:r>
          </w:p>
        </w:tc>
      </w:tr>
      <w:tr>
        <w:tc>
          <w:tcPr>
            <w:tcW w:type="dxa" w:w="2880"/>
            <w:shd w:val="clear" w:color="auto" w:fill="EBF3FB"/>
          </w:tcPr>
          <w:p>
            <w:pPr>
              <w:spacing w:before="60" w:after="60"/>
            </w:pPr>
            <w:r>
              <w:rPr>
                <w:rFonts w:ascii="Arial" w:hAnsi="Arial"/>
                <w:b/>
                <w:sz w:val="17"/>
              </w:rPr>
              <w:t>Prior (10-Q 2025-05-05)</w:t>
            </w:r>
          </w:p>
        </w:tc>
        <w:tc>
          <w:tcPr>
            <w:tcW w:type="dxa" w:w="7200"/>
          </w:tcPr>
          <w:p>
            <w:pPr>
              <w:spacing w:before="60" w:after="60"/>
            </w:pPr>
            <w:r>
              <w:rPr>
                <w:rFonts w:ascii="Arial" w:hAnsi="Arial"/>
                <w:sz w:val="17"/>
              </w:rPr>
              <w:t>Vagueness: 0.3173  |  Complexity: 0.0560</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-0.0226  |  Complexity: +0.0100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Cummins Inc. (CMI) presents minimal supply chain disclosure risk. Both the Claude Analysis signal and FinBERT statistical signal register LOW, indicating consistent and transparent reporting practices. CMI's 10-Q vagueness score of 0.2947 sits well below the sector mean of 0.5066, placing it among the most forthcoming filers in the industrial universe. One borderline flag involving relocated tariff compliance language warrants monitoring but does not rise to actionable concern. Recommendation: maintain standard review cadence with no escalation required.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CMI's latest 10-Q vagueness score of 0.2947 is 0.21 points below the sector mean, positioning the company near the bottom quartile of vagueness across 185 industrial peers — a strongly favorable reading. The quarterly filing trend is stable to improving, with vagueness declining 2.3 percentage points sequentially. Complexity remains negligible at 0.066. Annual 10-K filings show modestly higher vagueness (~0.59), consistent with longer-form boilerplate, but remain within normal sector range.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borderline flag involves the removal of detailed tariff compliance risk language from the Legal Proceedings section. The prior filing explicitly referenced "significant resources and data management systems," "fines and penalties," and "reputational harm" associated with tariff compliance , while the current filing reduces this to a one-sentence cross-reference to Note 11 . Opus analysis indicates this language was relocated to the Risk Factors section rather than eliminated, which preserves substantive content but reduces its prominence in Legal Proceedings — a common but generally benign restructuring practice.</w:t>
      </w:r>
    </w:p>
    <w:p>
      <w:pPr>
        <w:spacing w:after="120" w:before="40"/>
      </w:pPr>
      <w:r>
        <w:rPr>
          <w:rFonts w:ascii="Arial" w:hAnsi="Arial"/>
          <w:i w:val="0"/>
          <w:color w:val="000000"/>
          <w:sz w:val="18"/>
        </w:rPr>
        <w:t>Beyond this single flag, CMI's disclosures are notably strong. The company provides quantified tariff impact estimates, specific supply chain risk discussion, detailed pension and JV commitment figures, and transparent capital allocation commentary. Six of seven initial flags were dismissed upon investigation, reflecting a filing posture well above peer norms for specificity and completeness.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CMI ranks in approximately the 10th–15th percentile for vagueness among 185 sector peers, meaning roughly 85% of comparable industrial filers produce less transparent quarterly disclosures. This positioning is consistent across recent filing periods. Peer selection encompasses broad industrials, which may dilute precision for CMI's specific engine and power systems subsector — a known limitation of the current universe definition.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cross-reference CMI's current 10-Q Risk Factors section against the prior period's Legal Proceedings tariff language to confirm no substantive detail was lost in the relocation. Second, track management's characterization of tariff impacts as "immaterial" against actual cost escalation, particularly as tariff costs are expected to increase from second-quarter levels. Third, monitor the $551 million remaining Amplify Cell Technologies JV commitment and underlying government incentive assumptions, which could introduce future disclosure variability if program economics shift.</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