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CRCT</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6  |  Borderline: 1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2025-08-06)</w:t>
            </w:r>
          </w:p>
        </w:tc>
        <w:tc>
          <w:tcPr>
            <w:tcW w:type="dxa" w:w="7200"/>
          </w:tcPr>
          <w:p>
            <w:pPr>
              <w:spacing w:before="60" w:after="60"/>
            </w:pPr>
            <w:r>
              <w:rPr>
                <w:rFonts w:ascii="Arial" w:hAnsi="Arial"/>
                <w:sz w:val="17"/>
              </w:rPr>
              <w:t>Vagueness: 0.3398  |  Complexity: 0.0842</w:t>
            </w:r>
          </w:p>
        </w:tc>
      </w:tr>
      <w:tr>
        <w:tc>
          <w:tcPr>
            <w:tcW w:type="dxa" w:w="2880"/>
            <w:shd w:val="clear" w:color="auto" w:fill="EBF3FB"/>
          </w:tcPr>
          <w:p>
            <w:pPr>
              <w:spacing w:before="60" w:after="60"/>
            </w:pPr>
            <w:r>
              <w:rPr>
                <w:rFonts w:ascii="Arial" w:hAnsi="Arial"/>
                <w:b/>
                <w:sz w:val="17"/>
              </w:rPr>
              <w:t>Prior (10-Q 2025-05-07)</w:t>
            </w:r>
          </w:p>
        </w:tc>
        <w:tc>
          <w:tcPr>
            <w:tcW w:type="dxa" w:w="7200"/>
          </w:tcPr>
          <w:p>
            <w:pPr>
              <w:spacing w:before="60" w:after="60"/>
            </w:pPr>
            <w:r>
              <w:rPr>
                <w:rFonts w:ascii="Arial" w:hAnsi="Arial"/>
                <w:sz w:val="17"/>
              </w:rPr>
              <w:t>Vagueness: 0.4545  |  Complexity: 0.0773</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-0.1147  |  Complexity: +0.0069</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CRCT presents a material supply chain transparency risk. Claude Analysis flags HIGH concern based on the systematic removal of China-specific supply chain, tariff, and regulatory risk disclosures across Risk Factors, MD&amp;A, and Legal Proceedings in the most recent 10-Q. FinBERT ranks vagueness as LOW relative to the sector (16th percentile below mean), likely reflecting the shorter, cleaner quarterly filing format rather than substantive transparency. This divergence suggests statistical measures miss targeted disclosure deletions. We recommend escalated due diligence for any portfolio company with CRCT supply chain exposure.</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CRCT's latest 10-Q vagueness score of 0.34 sits well below the sector mean of 0.51, placing it in the lower quartile of the 185-company universe. Vagueness declined 11.5 points sequentially, and complexity ticked up modestly. However, this improvement is mechanically consistent with removing lengthy, qualified risk paragraphs—excising hedged language paradoxically reduces measured vagueness while degrading disclosure quality. The FinBERT signal thus reflects linguistic simplification, not substantive transparency.</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CRCT's most recent 10-Q systematically eliminates extensive China-related risk disclosures that were present one quarter earlier, despite an escalating U.S.-China tariff environment. The prior filing detailed dependence on a contract manufacturer wholly owned by a Chinese parent company, limited-source components from China, and the explicit warning that disruption would be "materially and adversely" impactful. This entire discussion was removed (see 10-Q filed 2025-05-07, p.24). Concurrently, specific geopolitical risk language referencing $550 billion in cumulative tariffs, Entity List exposure, and Taiwan semiconductor dependency was deleted from Risk Factors (see 10-Q filed 2025-05-07, p.25).</w:t>
      </w:r>
    </w:p>
    <w:p>
      <w:pPr>
        <w:spacing w:after="120" w:before="40"/>
      </w:pPr>
      <w:r>
        <w:rPr>
          <w:rFonts w:ascii="Arial" w:hAnsi="Arial"/>
          <w:i w:val="0"/>
          <w:color w:val="000000"/>
          <w:sz w:val="18"/>
        </w:rPr>
        <w:t>The pattern extends beyond Risk Factors. The Legal Proceedings section previously contained five paragraphs detailing Entity List additions, ICTS final rules, and Section 232 investigations; the current filing retains only generic boilerplate . MD&amp;A tariff discussion collapsed from multi-paragraph specificity to a brief reference to "trade wars, heightened, scheduled or threatened tariffs" (see 10-Q filed 2025-08-06, p.20). The coordinated nature of these removals across three distinct filing sections—at a time when U.S.-China trade tensions have intensified—is inconsistent with routine editorial revision and warrants serious scrutiny.</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CRCT's absolute vagueness score positions it favorably within its sector on statistical measures. However, peer comparison here has a known limitation: the 185-company universe likely includes software and platform businesses with fundamentally different supply chain disclosure profiles. For hardware-dependent companies with concentrated Chinese manufacturing exposure, the relevant peer set is narrower, and CRCT's targeted removal of supply chain specifics may be more anomalous than aggregate statistics suggest.</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with portfolio exposure to CRCT as a supply chain participant should take three steps. First, review CRCT's Q2 2025 earnings call transcript to determine whether management provided China risk detail verbally that was stripped from the filing. Second, engage investor relations directly on whether the company has received any ICTS compliance notices or Entity List-related inquiries, given the coordinated removal of this content. Third, examine inventory build patterns and gross margin trends in the Products segment for evidence of tariff-driven cost absorption or demand pull-forward masking underlying deterioration.</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15:40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