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CRSR</w:t>
      </w:r>
    </w:p>
    <w:p>
      <w:pPr>
        <w:spacing w:after="40"/>
      </w:pPr>
      <w:r>
        <w:rPr>
          <w:rFonts w:ascii="Arial" w:hAnsi="Arial"/>
          <w:b/>
          <w:color w:val="1F3D6B"/>
          <w:sz w:val="20"/>
        </w:rPr>
        <w:t xml:space="preserve">CLAUDE ANALYSIS: </w:t>
      </w:r>
      <w:r>
        <w:rPr>
          <w:rFonts w:ascii="Arial" w:hAnsi="Arial"/>
          <w:b/>
          <w:color w:val="ED7D31"/>
          <w:sz w:val="20"/>
        </w:rPr>
        <w:t>MEDIUM</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388638"/>
          <w:sz w:val="20"/>
        </w:rPr>
        <w:t>LOW</w:t>
      </w:r>
    </w:p>
    <w:p>
      <w:pPr>
        <w:spacing w:after="80"/>
      </w:pPr>
      <w:r>
        <w:rPr>
          <w:rFonts w:ascii="Arial" w:hAnsi="Arial"/>
          <w:color w:val="606060"/>
          <w:sz w:val="17"/>
        </w:rPr>
        <w:t>Generated: 09 April 2026  |  Genuine: 3  |  Borderline: 1  |  Dismissed: 7</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(10-Q 2025-08-07)</w:t>
            </w:r>
          </w:p>
        </w:tc>
        <w:tc>
          <w:tcPr>
            <w:tcW w:type="dxa" w:w="7200"/>
          </w:tcPr>
          <w:p>
            <w:pPr>
              <w:spacing w:before="60" w:after="60"/>
            </w:pPr>
            <w:r>
              <w:rPr>
                <w:rFonts w:ascii="Arial" w:hAnsi="Arial"/>
                <w:sz w:val="17"/>
              </w:rPr>
              <w:t>Vagueness: 0.2383  |  Complexity: 0.3236</w:t>
            </w:r>
          </w:p>
        </w:tc>
      </w:tr>
      <w:tr>
        <w:tc>
          <w:tcPr>
            <w:tcW w:type="dxa" w:w="2880"/>
            <w:shd w:val="clear" w:color="auto" w:fill="EBF3FB"/>
          </w:tcPr>
          <w:p>
            <w:pPr>
              <w:spacing w:before="60" w:after="60"/>
            </w:pPr>
            <w:r>
              <w:rPr>
                <w:rFonts w:ascii="Arial" w:hAnsi="Arial"/>
                <w:b/>
                <w:sz w:val="17"/>
              </w:rPr>
              <w:t>Prior (10-Q 2025-05-07)</w:t>
            </w:r>
          </w:p>
        </w:tc>
        <w:tc>
          <w:tcPr>
            <w:tcW w:type="dxa" w:w="7200"/>
          </w:tcPr>
          <w:p>
            <w:pPr>
              <w:spacing w:before="60" w:after="60"/>
            </w:pPr>
            <w:r>
              <w:rPr>
                <w:rFonts w:ascii="Arial" w:hAnsi="Arial"/>
                <w:sz w:val="17"/>
              </w:rPr>
              <w:t>Vagueness: 0.2428  |  Complexity: 0.3198</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-0.0045  |  Complexity: +0.0038</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Corsair Gaming (CRSR) presents a moderate supply chain disclosure risk for downstream customers and investors. The Claude Analysis flagged a MEDIUM signal based on the removal of three standalone risk factors covering trade policy, supply chain concentration, and quantitative sensitivity metrics from the Q2 2025 10-Q. The FinBERT statistical signal is LOW, placing CRSR well below sector-average vagueness. This divergence likely reflects the mechanical effect of shorter quarterly filings scoring well on vagueness while substantive content has been stripped. We recommend enhanced monitoring of CRSR's supply chain disclosures.</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CRSR's FinBERT vagueness score of 0.2383 in the latest 10-Q sits 0.27 points below the sector mean of 0.51, placing it firmly below the 25th percentile among 185 peers. The vagueness trend is marginally improving (−0.0045 quarter-over-quarter), and complexity ticked up modestly (+0.004). Notably, the quarterly filings consistently score far lower on vagueness than the annual 10-K (~0.70), suggesting that CRSR's 10-Qs are structurally leaner rather than qualitatively superior in transparency.</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most material finding is CRSR's removal of a comprehensive, multi-paragraph geopolitical and trade policy risk factor from its Q2 2025 10-Q, replaced only by a cross-reference to the prior quarter's filing (see 10-Q filed 2025-05-07, p.30). This is particularly significant given CRSR's explicit reliance on manufacturing facilities in Taiwan, China, and Vietnam—regions facing elevated geopolitical risk—which was separately disclosed as a standalone supply chain concentration risk factor in Q1 and then dropped . A cross-reference approach during an active and volatile tariff environment materially reduces the standalone analytical utility of the current filing.</w:t>
      </w:r>
    </w:p>
    <w:p>
      <w:pPr>
        <w:spacing w:after="120" w:before="40"/>
      </w:pPr>
      <w:r>
        <w:rPr>
          <w:rFonts w:ascii="Arial" w:hAnsi="Arial"/>
          <w:i w:val="0"/>
          <w:color w:val="000000"/>
          <w:sz w:val="18"/>
        </w:rPr>
        <w:t>Additionally, CRSR removed its interest rate sensitivity disclosure entirely and reported a foreign exchange sensitivity figure that dropped from $1.7 million to $0.6 million without explanation . The absence of commentary on whether this reduction stems from debt paydown, hedging activity, or revenue mix shift is a meaningful gap. The MD&amp;A does continue to discuss tariff mitigation strategies including pricing actions and inventory management, which partially offsets the risk factor removals but does not substitute for structured risk disclosure.</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CRSR's statistical vagueness profile is strong relative to the 185-company sector universe, sitting well below the 25th percentile. However, peer comparison should be interpreted cautiously: the low vagueness score partly reflects dramatically shorter Q2 filings (199 sentences versus 924 in the 10-K), which mechanically compress vagueness metrics. The qualitative disclosure reductions flagged by Claude are not captured by sentence-level statistical models.</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Analysts should first retrieve CRSR's Q1 2025 10-Q Part II Item 1A to verify whether the cross-referenced tariff risk factor fully preserves the specificity of the removed language or represents a net information loss. Second, during the next earnings call or management engagement, seek an explanation for the $1.1 million reduction in FX sensitivity and the complete removal of interest rate sensitivity disclosure. Third, monitor CRSR's Q3 2025 10-Q for whether standalone risk factor disclosures on supply chain concentration and trade policy are restored or whether the cross-reference approach becomes a pattern.</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15:40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