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CSCO</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1  |  Borderline: 0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2025-09-03)</w:t>
            </w:r>
          </w:p>
        </w:tc>
        <w:tc>
          <w:tcPr>
            <w:tcW w:type="dxa" w:w="7200"/>
          </w:tcPr>
          <w:p>
            <w:pPr>
              <w:spacing w:before="60" w:after="60"/>
            </w:pPr>
            <w:r>
              <w:rPr>
                <w:rFonts w:ascii="Arial" w:hAnsi="Arial"/>
                <w:sz w:val="17"/>
              </w:rPr>
              <w:t>Vagueness: 0.6436  |  Complexity: 0.0098</w:t>
            </w:r>
          </w:p>
        </w:tc>
      </w:tr>
      <w:tr>
        <w:tc>
          <w:tcPr>
            <w:tcW w:type="dxa" w:w="2880"/>
            <w:shd w:val="clear" w:color="auto" w:fill="EBF3FB"/>
          </w:tcPr>
          <w:p>
            <w:pPr>
              <w:spacing w:before="60" w:after="60"/>
            </w:pPr>
            <w:r>
              <w:rPr>
                <w:rFonts w:ascii="Arial" w:hAnsi="Arial"/>
                <w:b/>
                <w:sz w:val="17"/>
              </w:rPr>
              <w:t>Prior (10-Q 2025-05-20)</w:t>
            </w:r>
          </w:p>
        </w:tc>
        <w:tc>
          <w:tcPr>
            <w:tcW w:type="dxa" w:w="7200"/>
          </w:tcPr>
          <w:p>
            <w:pPr>
              <w:spacing w:before="60" w:after="60"/>
            </w:pPr>
            <w:r>
              <w:rPr>
                <w:rFonts w:ascii="Arial" w:hAnsi="Arial"/>
                <w:sz w:val="17"/>
              </w:rPr>
              <w:t>Vagueness: 0.4641  |  Complexity: 0.0228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+0.1795  |  Complexity: -0.0130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Cisco Systems (CSCO) presents a divergent disclosure risk signal for supply chain monitoring. The Claude qualitative analysis rates risk as LOW, identifying only one genuine degradation — the wholesale removal of DEI and workforce diversity metrics. However, FinBERT statistical analysis flags CSCO as HIGH risk, with vagueness scoring 0.6436, well above the sector mean of 0.5066 (above the 75th percentile). This divergence warrants monitoring: the quantitative signal suggests structurally vaguer language even if specific disclosure changes are limited. Recommend maintaining current supply chain exposure while monitoring subsequent filings for further opacity.</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CSCO's latest 10-K vagueness score of 0.6436 exceeds the sector mean by 13.7 percentage points and sits above the 75th percentile (0.5957) among 185 peer companies. Notably, vagueness rose sharply from 0.3357 in the February 2025 10-Q to 0.6436 in the September 2025 10-K (+0.1795 versus the prior filing), though some of this reflects the structural difference between 10-K and 10-Q filings. Complexity remains negligible at 0.0098. The persistent elevation in annual filings suggests CSCO's 10-K language is inherently less precise than sector norms.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degradation identified is the complete elimination of quantitative workforce diversity data, inclusion program details, and the Social Justice Action Office from the human capital section. The prior filing disclosed specific breakdowns such as gender and ethnicity composition and ELT diversity metrics; the current filing removes all of these without cross-referencing an alternative report (see 10-K filed 2025-09-03, p.14). This matters for supply chain due diligence because workforce stability and culture disclosures often serve as leading indicators of operational risk, particularly given CSCO's concurrent ~4,200 headcount reduction (from 90,400 to 86,200).</w:t>
      </w:r>
    </w:p>
    <w:p>
      <w:pPr>
        <w:spacing w:after="120" w:before="40"/>
      </w:pPr>
      <w:r>
        <w:rPr>
          <w:rFonts w:ascii="Arial" w:hAnsi="Arial"/>
          <w:i w:val="0"/>
          <w:color w:val="000000"/>
          <w:sz w:val="18"/>
        </w:rPr>
        <w:t>The remaining seven flags from the qualitative screen were dismissed as false positives — six reflected peer divergence artifacts where CSCO was actually the stronger discloser, and one cybersecurity flag stemmed from narrow text selection rather than substantive deficiency . The FinBERT HIGH signal, however, raises a separate concern: CSCO's annual filing language is structurally vaguer than most sector peers regardless of specific content changes. This could indicate boilerplate inflation or hedging language that the qualitative review did not capture as discrete degradation events but that cumulatively reduces filing informativeness.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CSCO's vagueness score positions it above the 75th percentile in a 185-company sector universe, indicating disclosure language is less precise than roughly three-quarters of peers. The peer selection for qualitative comparison showed limitations — several flagged divergences were inverted, identifying peers as weaker disclosers. This suggests the peer benchmarking methodology may warrant refinement for future assessments.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verify whether CSCO has published a standalone ESG or CSR report that contains the removed workforce diversity metrics, which would mitigate the human capital disclosure gap. Second, compare CSCO's 10-K vagueness trajectory against its direct supply chain competitors (e.g., Juniper, Arista) using annual filings only, to control for the 10-K/10-Q structural difference driving FinBERT volatility. Third, during the next earnings engagement, directly question management on the rationale for removing quantitative DEI data and whether additional workforce restructuring is planned.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