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CTLP</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2  |  Borderline: 4  |  Dismissed: 2</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(10-K 2025-09-08)</w:t>
            </w:r>
          </w:p>
        </w:tc>
        <w:tc>
          <w:tcPr>
            <w:tcW w:type="dxa" w:w="7200"/>
          </w:tcPr>
          <w:p>
            <w:pPr>
              <w:spacing w:before="60" w:after="60"/>
            </w:pPr>
            <w:r>
              <w:rPr>
                <w:rFonts w:ascii="Arial" w:hAnsi="Arial"/>
                <w:sz w:val="17"/>
              </w:rPr>
              <w:t>Vagueness: 0.6324  |  Complexity: 0.0380</w:t>
            </w:r>
          </w:p>
        </w:tc>
      </w:tr>
      <w:tr>
        <w:tc>
          <w:tcPr>
            <w:tcW w:type="dxa" w:w="2880"/>
            <w:shd w:val="clear" w:color="auto" w:fill="EBF3FB"/>
          </w:tcPr>
          <w:p>
            <w:pPr>
              <w:spacing w:before="60" w:after="60"/>
            </w:pPr>
            <w:r>
              <w:rPr>
                <w:rFonts w:ascii="Arial" w:hAnsi="Arial"/>
                <w:b/>
                <w:sz w:val="17"/>
              </w:rPr>
              <w:t>Prior (10-Q 2025-05-08)</w:t>
            </w:r>
          </w:p>
        </w:tc>
        <w:tc>
          <w:tcPr>
            <w:tcW w:type="dxa" w:w="7200"/>
          </w:tcPr>
          <w:p>
            <w:pPr>
              <w:spacing w:before="60" w:after="60"/>
            </w:pPr>
            <w:r>
              <w:rPr>
                <w:rFonts w:ascii="Arial" w:hAnsi="Arial"/>
                <w:sz w:val="17"/>
              </w:rPr>
              <w:t>Vagueness: 0.2191  |  Complexity: 0.2263</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+0.4133  |  Complexity: -0.1883</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CTLP presents a divergent disclosure risk signal for supply chain counterparties: Claude Analysis rates disclosure degradation as MEDIUM, identifying meaningful reductions in technology investment and cybersecurity specificity, while FinBERT ranks vagueness as HIGH relative to the payments technology sector (75th percentile). The divergence likely reflects that qualitative content gaps—particularly the collapse of R&amp;D detail and thin cybersecurity disclosure—compound a statistically elevated vagueness score in the latest 10-K. The pending Merger may be motivating selective disclosure reduction. Recommend enhanced monitoring and direct engagement on technology and cybersecurity posture.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CTLP's latest 10-K vagueness score of 0.6324 exceeds the sector mean of 0.5066 by 12.6 percentage points, placing it above the 75th percentile among 185 peers. The quarterly filings showed steadily declining vagueness (0.2701 to 0.2191), but the annual filing reversed this trend sharply, with a +0.4133 jump. This pattern—clean quarterlies followed by a vague annual report—warrants scrutiny, as annual filings carry the most comprehensive disclosure obligations.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near-total collapse of technology and R&amp;D investment disclosure. Prior filings enumerated specific platform initiatives—mobile enhancements across Seed, Cantaloupe Go, and the loyalty platform—while the current 10-K reduces this to a single generic sentence: "We have significant expenditures associated with the technological maintenance and improvement of our network and technology offerings" (see 10-K filed 2025-09-08, p.42). For a payments infrastructure company, this opacity makes it impossible to assess whether investment levels or strategic priorities have shifted, a critical consideration for downstream supply chain partners relying on platform continuity.</w:t>
      </w:r>
    </w:p>
    <w:p>
      <w:pPr>
        <w:spacing w:after="120" w:before="40"/>
      </w:pPr>
      <w:r>
        <w:rPr>
          <w:rFonts w:ascii="Arial" w:hAnsi="Arial"/>
          <w:i w:val="0"/>
          <w:color w:val="000000"/>
          <w:sz w:val="18"/>
        </w:rPr>
        <w:t>Equally concerning is CTLP's cybersecurity disclosure, which is strikingly thin relative to peer VYX, a comparable payments technology firm that details threat landscapes, past incidents, and specific controls . CTLP's operational disclosures also shifted from quantified acquisition costs and strategic rationale toward product marketing language (see 10-K filed 2025-09-08, p.34), while legal risk language softened around the 2019 SEC Investigation, removing former officer/director exposure references and insurance adequacy warnings . The pending Merger likely explains some disclosure reticence but does not excuse gaps in cybersecurity and operational risk transparency.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Against sector peers, CTLP's disclosure quality is notably weaker on cybersecurity and operational risk dimensions. Comparable payments firms such as VYX and PAR provide detailed threat assessments, incident histories, quantitative market risk analyses, and infrastructure resilience discussions that CTLP omits entirely. Peer selection is limited to the available universe, but the identified gaps are substantive regardless of peer composition.</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review CTLP's complete Item 1C cybersecurity disclosure and full Risk Factors for operational infrastructure content that may exist outside the flagged sections; second, compare capitalized internal-use software and R&amp;D expenditure trends across the last four fiscal years to detect any investment pullback masked by the reduced narrative; third, engage CTLP management directly on technology roadmap continuity commitments and cybersecurity posture, particularly given the pending Merger's potential to reduce disclosure incentives.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15:41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