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CVR</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2  |  Borderline: 1  |  Dismissed: 2</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2025-08-08)</w:t>
            </w:r>
          </w:p>
        </w:tc>
        <w:tc>
          <w:tcPr>
            <w:tcW w:type="dxa" w:w="7200"/>
          </w:tcPr>
          <w:p>
            <w:pPr>
              <w:spacing w:before="60" w:after="60"/>
            </w:pPr>
            <w:r>
              <w:rPr>
                <w:rFonts w:ascii="Arial" w:hAnsi="Arial"/>
                <w:sz w:val="17"/>
              </w:rPr>
              <w:t>Vagueness: 0.4417  |  Complexity: 0.0231</w:t>
            </w:r>
          </w:p>
        </w:tc>
      </w:tr>
      <w:tr>
        <w:tc>
          <w:tcPr>
            <w:tcW w:type="dxa" w:w="2880"/>
            <w:shd w:val="clear" w:color="auto" w:fill="EBF3FB"/>
          </w:tcPr>
          <w:p>
            <w:pPr>
              <w:spacing w:before="60" w:after="60"/>
            </w:pPr>
            <w:r>
              <w:rPr>
                <w:rFonts w:ascii="Arial" w:hAnsi="Arial"/>
                <w:b/>
                <w:sz w:val="17"/>
              </w:rPr>
              <w:t>Prior (10-Q 2025-05-09)</w:t>
            </w:r>
          </w:p>
        </w:tc>
        <w:tc>
          <w:tcPr>
            <w:tcW w:type="dxa" w:w="7200"/>
          </w:tcPr>
          <w:p>
            <w:pPr>
              <w:spacing w:before="60" w:after="60"/>
            </w:pPr>
            <w:r>
              <w:rPr>
                <w:rFonts w:ascii="Arial" w:hAnsi="Arial"/>
                <w:sz w:val="17"/>
              </w:rPr>
              <w:t>Vagueness: 0.4365  |  Complexity: 0.0441</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+0.0052  |  Complexity: -0.0210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CVR Partners (CVR) presents a MEDIUM supply chain transparency risk under both the Claude Analysis and FinBERT statistical signals, which are aligned. The company removed specific automotive segment revenue figures and decline percentages between its Q1 and Q2 2025 filings and provides no supply chain risk discussion despite concentrated automotive exposure during a period of tariff uncertainty. FinBERT scores place CVR near the sector median. We recommend heightened monitoring and direct engagement to obtain the omitted segment-level data before the next procurement or exposure review.</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CVR's latest 10-Q vagueness score of 0.4417 sits modestly below the sector mean of 0.5066, placing the company roughly in the lower half of the 185-firm universe — a positive positioning. However, the quarter-over-quarter vagueness uptick of +0.0052 and complexity decline of −0.0210 suggest marginally less precise language with simpler sentence structure. The 10-K filings show improvement (0.5749 to 0.5392), but quarterly filings with very low sentence counts (5 in one period) limit trend reliability.</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CVR's removal of granular automotive segment revenue data between Q1 and Q2 2025 filings. In Q1, the company disclosed an $830,532 decline (17.9%) in automotive customer sales with specific causal attribution to North American vehicle production slowdowns (see 10-Q filed 2025-08-08, p.23). In Q2, this was replaced by a generic product-line description of riveting machines with zero quantitative content (see 10-Q filed 2025-08-08, p.21). This substitution pattern — replacing quantified deterioration with boilerplate — is a classic disclosure degradation signal and may indicate an accelerating downturn management prefers not to spotlight.</w:t>
      </w:r>
    </w:p>
    <w:p>
      <w:pPr>
        <w:spacing w:after="120" w:before="40"/>
      </w:pPr>
      <w:r>
        <w:rPr>
          <w:rFonts w:ascii="Arial" w:hAnsi="Arial"/>
          <w:i w:val="0"/>
          <w:color w:val="000000"/>
          <w:sz w:val="18"/>
        </w:rPr>
        <w:t>Compounding this concern, CVR provides no supply chain risk discussion despite being a Midwest fastener and assembly equipment manufacturer with concentrated automotive OEM exposure during a period of active tariff policy changes. Peer SPXC explicitly addresses material sourcing challenges and raw material availability monitoring . CVR's silence on input costs, tariff exposure, and customer order adjustments is notable given its acknowledged material weakness in inventory valuation controls and going-concern language referencing actions to improve liquidity.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CVR's disclosure quality lags more diversified industrial peers such as SPXC, which proactively addresses supply chain risk and sourcing challenges. Even smaller peer NNBR provides more operational specificity, including headcount-driven cost reductions . The peer set for a micro-cap fastener manufacturer is inherently limited, and comparisons to larger industrials should be interpreted with that size mismatch in mind.</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directly request CVR's Q2 2025 automotive segment revenue and year-over-year change to determine whether the disclosure omission coincides with an accelerating decline. Second, inquire about raw material cost trends and tariff exposure on steel and fastener inputs, given the complete absence of supply chain risk language. Third, monitor remediation progress on the inventory valuation material weakness, as unresolved control deficiencies combined with going-concern indicators elevate the risk that reported figures may not fully reflect operational deterioration.</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15:41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