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DBD</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0.2504  |  Complexity: 0.1058</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0.3212  |  Complexity: 0.1367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-0.0708  |  Complexity: -0.0309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Diebold Nixdorf (DBD) presents minimal supply chain disclosure risk. Both the Claude Analysis signal and the FinBERT statistical signal register LOW, indicating convergent evidence of adequate-to-strong transparency. DBD's latest filing vagueness score sits well below the sector mean, and the trend is improving. Two borderline findings—diluted tariff impact specificity and dropped headcount data—warrant monitoring but do not rise to the level requiring immediate portfolio action. Maintain standard surveillance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DBD's most recent 10-Q (August 2025) scores 0.2504 on vagueness, placing it approximately 0.26 standard units below the 185-company sector mean of 0.5066 and well below the 25th percentile threshold of 0.4199. The trend is favorable: vagueness declined 7.1 percentage points sequentially and has fallen steadily across both 10-K and 10-Q filings over the past eighteen months. Complexity scores are similarly modest and declining, suggesting the company is not substituting opacity for detail.</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DBD's treatment of tariff exposure. In Q1, the company disclosed a specific gross tariff impact of $20 million under clearly stated rate assumptions (145% China, 10% elsewhere). By Q2, this was replaced with a vaguer net range of "approximately $5 to $10 million" under revised rates, without bridging the gross-to-net gap or quantifying specific mitigation actions . The shift from a single-point gross estimate to a net range obscures the magnitude of assumed offsets and complicates period-over-period comparability.</w:t>
      </w:r>
    </w:p>
    <w:p>
      <w:pPr>
        <w:spacing w:after="120" w:before="40"/>
      </w:pPr>
      <w:r>
        <w:rPr>
          <w:rFonts w:ascii="Arial" w:hAnsi="Arial"/>
          <w:i w:val="0"/>
          <w:color w:val="000000"/>
          <w:sz w:val="18"/>
        </w:rPr>
        <w:t>Separately, the Q2 filing omits the previously reported employee headcount of approximately 21,000 and removes R&amp;D investment context, replacing both with a generic expense description about transitioning personnel (see 10-Q filed 2025-08-06, p.15). This omission coincides with elevated restructuring charges ($36.3 million year-to-date, with severance accruals rising from $15.9 to $20.2 million), raising a question about whether workforce reductions are being understated. That said, four of six initially flagged items were dismissed as false positives upon deeper review, and DBD's quantitative tables for restructuring, goodwill, and legal contingencies remain detailed.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DBD's vagueness score ranks in the lower quartile of its 185-company sector universe, indicating above-average disclosure clarity. Its improving trajectory contrasts with typical sector norms. However, the peer set spans a broad industrial technology cohort, and the comparison may be imprecise for DBD's specific ATM and point-of-sale niche—a known limitation of the current sector classification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request from DBD management a gross-to-net tariff impact bridge with itemized mitigation contributions to restore comparability with Q1 disclosures. Second, monitor the upcoming 10-K for restoration of employee headcount data and compare it against the prior 21,000 baseline to assess whether restructuring-driven reductions are being transparently communicated. Third, track whether segment-level revenue decompositions with currency versus organic detail—present in Q1 but absent in Q2—reappear in Q3, as their absence could signal intentional opacity around demand trends.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