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DCI</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3  |  Borderline: 0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2025-09-26)</w:t>
            </w:r>
          </w:p>
        </w:tc>
        <w:tc>
          <w:tcPr>
            <w:tcW w:type="dxa" w:w="7200"/>
          </w:tcPr>
          <w:p>
            <w:pPr>
              <w:spacing w:before="60" w:after="60"/>
            </w:pPr>
            <w:r>
              <w:rPr>
                <w:rFonts w:ascii="Arial" w:hAnsi="Arial"/>
                <w:sz w:val="17"/>
              </w:rPr>
              <w:t>Vagueness: 0.6975  |  Complexity: 0.0261</w:t>
            </w:r>
          </w:p>
        </w:tc>
      </w:tr>
      <w:tr>
        <w:tc>
          <w:tcPr>
            <w:tcW w:type="dxa" w:w="2880"/>
            <w:shd w:val="clear" w:color="auto" w:fill="EBF3FB"/>
          </w:tcPr>
          <w:p>
            <w:pPr>
              <w:spacing w:before="60" w:after="60"/>
            </w:pPr>
            <w:r>
              <w:rPr>
                <w:rFonts w:ascii="Arial" w:hAnsi="Arial"/>
                <w:b/>
                <w:sz w:val="17"/>
              </w:rPr>
              <w:t>Prior (10-Q 2025-06-03)</w:t>
            </w:r>
          </w:p>
        </w:tc>
        <w:tc>
          <w:tcPr>
            <w:tcW w:type="dxa" w:w="7200"/>
          </w:tcPr>
          <w:p>
            <w:pPr>
              <w:spacing w:before="60" w:after="60"/>
            </w:pPr>
            <w:r>
              <w:rPr>
                <w:rFonts w:ascii="Arial" w:hAnsi="Arial"/>
                <w:sz w:val="17"/>
              </w:rPr>
              <w:t>Vagueness: 0.2979  |  Complexity: 0.1411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+0.3996  |  Complexity: -0.1150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Donaldson Company (DCI) presents a divergent disclosure risk signal for supply chain counterparty monitoring. The Claude Analysis flags MEDIUM risk, identifying targeted removal of acquisition/divestiture risk language and a conspicuously thin Risk Factors section on financial sustainability despite a $62M impairment. The FinBERT statistical model ranks DCI HIGH, placing it nearly 0.19 above the sector mean vagueness score at the 75th+ percentile. The divergence likely reflects DCI's annual 10-K filing pattern amplifying vagueness scores. Recommend enhanced due diligence on DCI's financial stability disclosures and M&amp;A posture.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DCI's latest 10-K (September 2025) registers a vagueness score of 0.6975, up sharply from the prior quarter's 0.2979 (+0.40), though this jump substantially reflects the structural difference between 10-K and 10-Q filings. Nevertheless, DCI's vagueness sits well above the sector mean of 0.5066 and exceeds the 75th percentile (0.5957), placing it among the more opaque filers in its 185-company peer universe. Complexity declined modestly, suggesting boilerplate expansion rather than technical deepening.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DCI's removal of an entire risk category addressing acquisitions, divestitures, and strategic transactions. The prior filing explicitly warned of "operating and integration inefficiencies, the incurrence of debt, contingent liabilities and amortization of expenses related to intangible assets," while the current filing substitutes generic language about "maintaining a competitive advantage requires consistent investment with uncertain returns" (see 10-K filed 2025-09-26, p.23). This deletion is particularly concerning given that DCI recorded a $62M impairment charge during the period—exactly the type of outcome the prior risk language was designed to forewarn.</w:t>
      </w:r>
    </w:p>
    <w:p>
      <w:pPr>
        <w:spacing w:after="120" w:before="40"/>
      </w:pPr>
      <w:r>
        <w:rPr>
          <w:rFonts w:ascii="Arial" w:hAnsi="Arial"/>
          <w:i w:val="0"/>
          <w:color w:val="000000"/>
          <w:sz w:val="18"/>
        </w:rPr>
        <w:t>The remaining Risk Factors section on financial sustainability is materially sparse relative to DCI's actual exposure profile. Peer CECO Environmental Corp, DCI's closest comparable (distance 3.41), provides granular disclosures on goodwill carrying amounts, pension cost assumptions, and deferred tax positions . DCI's Risk Factors contain only four generic sentences on these topics, while substantive detail on impairments, pensions, and goodwill appears only in the MD&amp;A—a pattern consistent with migrating risk acknowledgment away from the section investors rely on most for forward-looking risk assessment (see 10-K filed 2025-09-26, p.22).</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DCI's disclosure quality lags its closest peer CECO, which provides substantially more granular financial sustainability risk language. The FinBERT score positions DCI above the sector 75th percentile for vagueness. A known limitation is that the peer set includes PPIH, a smaller and less complex company, which may overstate the disclosure gap on certain dimensions. Nonetheless, the CECO comparison is well-calibrated and the gap is material.</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analysts should compare DCI's Risk Factors section across the last three 10-K filings to map the trajectory of language removal and determine whether the pruning of acquisition/divestiture risk language is a one-time event or a systematic trend. Second, review DCI's proxy statements and 8-K filings for any pending or recently completed M&amp;A transactions that would make the removed risk language still relevant. Third, during supplier review calls, probe DCI management on the rationale for the $62M impairment and whether strategic transaction risk has migrated or been deliberately de-emphasized.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