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DNOW</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ED7D31"/>
          <w:sz w:val="20"/>
        </w:rPr>
        <w:t>MEDIUM</w:t>
      </w:r>
    </w:p>
    <w:p>
      <w:pPr>
        <w:spacing w:after="80"/>
      </w:pPr>
      <w:r>
        <w:rPr>
          <w:rFonts w:ascii="Arial" w:hAnsi="Arial"/>
          <w:color w:val="606060"/>
          <w:sz w:val="17"/>
        </w:rPr>
        <w:t>Generated: 09 April 2026  |  Genuine: 2  |  Borderline: 0  |  Dismissed: 6</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2025-08-06)</w:t>
            </w:r>
          </w:p>
        </w:tc>
        <w:tc>
          <w:tcPr>
            <w:tcW w:type="dxa" w:w="7200"/>
          </w:tcPr>
          <w:p>
            <w:pPr>
              <w:spacing w:before="60" w:after="60"/>
            </w:pPr>
            <w:r>
              <w:rPr>
                <w:rFonts w:ascii="Arial" w:hAnsi="Arial"/>
                <w:sz w:val="17"/>
              </w:rPr>
              <w:t>Vagueness: 0.4576  |  Complexity: 0.1136</w:t>
            </w:r>
          </w:p>
        </w:tc>
      </w:tr>
      <w:tr>
        <w:tc>
          <w:tcPr>
            <w:tcW w:type="dxa" w:w="2880"/>
            <w:shd w:val="clear" w:color="auto" w:fill="EBF3FB"/>
          </w:tcPr>
          <w:p>
            <w:pPr>
              <w:spacing w:before="60" w:after="60"/>
            </w:pPr>
            <w:r>
              <w:rPr>
                <w:rFonts w:ascii="Arial" w:hAnsi="Arial"/>
                <w:b/>
                <w:sz w:val="17"/>
              </w:rPr>
              <w:t>Prior (10-Q 2025-05-07)</w:t>
            </w:r>
          </w:p>
        </w:tc>
        <w:tc>
          <w:tcPr>
            <w:tcW w:type="dxa" w:w="7200"/>
          </w:tcPr>
          <w:p>
            <w:pPr>
              <w:spacing w:before="60" w:after="60"/>
            </w:pPr>
            <w:r>
              <w:rPr>
                <w:rFonts w:ascii="Arial" w:hAnsi="Arial"/>
                <w:sz w:val="17"/>
              </w:rPr>
              <w:t>Vagueness: 0.4963  |  Complexity: 0.0977</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-0.0387  |  Complexity: +0.0159</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DNOW Inc. presents a LOW supply chain disclosure risk per Claude analysis, with only two genuine flags identified across recent filings. However, FinBERT ranks DNOW at MEDIUM relative to its sector, reflecting quarterly vagueness scores that, while below the sector mean, fluctuate notably between 10-K and 10-Q filings. The divergence likely stems from DNOW's generally strong quantitative disclosures offsetting pockets of qualitative opacity, particularly around tariff cost absorption. Recommended action: monitor tariff margin impacts and retention payment conditionality at the next earnings cycle.</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DNOW's latest 10-Q vagueness score of 0.458 sits below the sector mean of 0.507 and near the 25th percentile (0.420), indicating above-average clarity relative to the 185-company universe. The most recent quarter showed improving vagueness (down 3.9 points) but rising complexity (+1.6 points). The FinBERT MEDIUM signal reflects mid-range positioning when accounting for intra-year volatility, particularly the 10-Q spike to 0.509 in November 2024, rather than a sustained deterioration trend.</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concerns tariff impact disclosure. While peer WHD explicitly quantifies elevated tariff expenses on imported goods and identifies margin compression, DNOW characterizes tariff effects only as "uncertain" without acknowledging whether current product costs or gross margins are affected (see 10-Q filed 2025-08-06, p.25). As a major global pipe and valve distributor, DNOW's silence on an issue its closest peer explicitly calls out raises the possibility of undisclosed cost absorption that could surprise downstream customers relying on stable pricing.</w:t>
      </w:r>
    </w:p>
    <w:p>
      <w:pPr>
        <w:spacing w:after="120" w:before="40"/>
      </w:pPr>
      <w:r>
        <w:rPr>
          <w:rFonts w:ascii="Arial" w:hAnsi="Arial"/>
          <w:i w:val="0"/>
          <w:color w:val="000000"/>
          <w:sz w:val="18"/>
        </w:rPr>
        <w:t>The second genuine flag involves the removal of conditionality language for $13 million in acquisition-related retention payments. The prior quarter disclosed that payments were contingent on "non-financial post combination service conditions," while the current filing strips this detail, leaving only the headline commitment figure (see 10-Q filed 2025-08-06, p.30). This could reflect benign circumstances — conditions already met — or a deliberate reduction in transparency around a contingent obligation tied to MRC Global integration talent retention.</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DNOW's disclosure quality generally exceeds sector peers, with most peer-divergence flags reflecting DNOW providing more detail rather than less. The tariff disclosure gap versus WHD is the notable exception. Peer comparison is limited to the industrial distribution subsector within a broad 185-company universe, which may dilute the specificity of relative rankings for energy-focused distributors.</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pose direct questions to DNOW management regarding current tariff cost impacts on product margins, requesting quantification comparable to WHD's disclosures, and track gross margin trends quarter-over-quarter for signs of undisclosed compression. Second, review the 2024 10-K for full retention agreement terms to determine whether the $13 million service conditions have been satisfied or remain contingent. Third, as MRC Global integration progresses, benchmark actual synergy realization and cost disclosures against the extensive risk factors DNOW has laid out.</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15:43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