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1F3D6B"/>
          <w:sz w:val="28"/>
        </w:rPr>
        <w:t>SUPPLIER DISCLOSURE RISK MEMO</w:t>
      </w:r>
    </w:p>
    <w:p>
      <w:pPr>
        <w:spacing w:after="80"/>
      </w:pPr>
      <w:r>
        <w:rPr>
          <w:rFonts w:ascii="Arial" w:hAnsi="Arial"/>
          <w:b/>
          <w:color w:val="1F3D6B"/>
          <w:sz w:val="24"/>
        </w:rPr>
        <w:t>DOV</w:t>
      </w:r>
    </w:p>
    <w:p>
      <w:pPr>
        <w:spacing w:after="40"/>
      </w:pPr>
      <w:r>
        <w:rPr>
          <w:rFonts w:ascii="Arial" w:hAnsi="Arial"/>
          <w:b/>
          <w:color w:val="1F3D6B"/>
          <w:sz w:val="20"/>
        </w:rPr>
        <w:t xml:space="preserve">CLAUDE ANALYSIS: </w:t>
      </w:r>
      <w:r>
        <w:rPr>
          <w:rFonts w:ascii="Arial" w:hAnsi="Arial"/>
          <w:b/>
          <w:color w:val="000000"/>
          <w:sz w:val="20"/>
        </w:rPr>
        <w:t>UNKNOWN</w:t>
      </w:r>
      <w:r>
        <w:rPr>
          <w:rFonts w:ascii="Arial" w:hAnsi="Arial"/>
          <w:color w:val="606060"/>
          <w:sz w:val="20"/>
        </w:rPr>
        <w:t xml:space="preserve">    |    </w:t>
      </w:r>
      <w:r>
        <w:rPr>
          <w:rFonts w:ascii="Arial" w:hAnsi="Arial"/>
          <w:b/>
          <w:color w:val="1F3D6B"/>
          <w:sz w:val="20"/>
        </w:rPr>
        <w:t xml:space="preserve">FINBERT VAGUENESS: </w:t>
      </w:r>
      <w:r>
        <w:rPr>
          <w:rFonts w:ascii="Arial" w:hAnsi="Arial"/>
          <w:b/>
          <w:color w:val="388638"/>
          <w:sz w:val="20"/>
        </w:rPr>
        <w:t>LOW</w:t>
      </w:r>
    </w:p>
    <w:p>
      <w:pPr>
        <w:spacing w:after="80"/>
      </w:pPr>
      <w:r>
        <w:rPr>
          <w:rFonts w:ascii="Arial" w:hAnsi="Arial"/>
          <w:color w:val="606060"/>
          <w:sz w:val="17"/>
        </w:rPr>
        <w:t>Generated: 09 April 2026  |  Genuine: 0  |  Borderline: 0  |  Dismissed: 0</w:t>
      </w:r>
    </w:p>
    <w:p>
      <w:pPr>
        <w:spacing w:before="80" w:after="80"/>
        <w:pBdr>
          <w:bottom w:val="single" w:sz="16" w:space="1" w:color="1F3D6B"/>
        </w:pBdr>
      </w:pP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EBF3FB"/>
          </w:tcPr>
          <w:p>
            <w:pPr>
              <w:spacing w:before="60" w:after="60"/>
            </w:pPr>
            <w:r>
              <w:rPr>
                <w:rFonts w:ascii="Arial" w:hAnsi="Arial"/>
                <w:b/>
                <w:sz w:val="17"/>
              </w:rPr>
              <w:t>Most Recent (10-Q 2025-07-24)</w:t>
            </w:r>
          </w:p>
        </w:tc>
        <w:tc>
          <w:tcPr>
            <w:tcW w:type="dxa" w:w="7200"/>
          </w:tcPr>
          <w:p>
            <w:pPr>
              <w:spacing w:before="60" w:after="60"/>
            </w:pPr>
            <w:r>
              <w:rPr>
                <w:rFonts w:ascii="Arial" w:hAnsi="Arial"/>
                <w:sz w:val="17"/>
              </w:rPr>
              <w:t>Vagueness: 0.2941  |  Complexity: 0.0726</w:t>
            </w:r>
          </w:p>
        </w:tc>
      </w:tr>
      <w:tr>
        <w:tc>
          <w:tcPr>
            <w:tcW w:type="dxa" w:w="2880"/>
            <w:shd w:val="clear" w:color="auto" w:fill="EBF3FB"/>
          </w:tcPr>
          <w:p>
            <w:pPr>
              <w:spacing w:before="60" w:after="60"/>
            </w:pPr>
            <w:r>
              <w:rPr>
                <w:rFonts w:ascii="Arial" w:hAnsi="Arial"/>
                <w:b/>
                <w:sz w:val="17"/>
              </w:rPr>
              <w:t>Prior (10-Q 2025-04-24)</w:t>
            </w:r>
          </w:p>
        </w:tc>
        <w:tc>
          <w:tcPr>
            <w:tcW w:type="dxa" w:w="7200"/>
          </w:tcPr>
          <w:p>
            <w:pPr>
              <w:spacing w:before="60" w:after="60"/>
            </w:pPr>
            <w:r>
              <w:rPr>
                <w:rFonts w:ascii="Arial" w:hAnsi="Arial"/>
                <w:sz w:val="17"/>
              </w:rPr>
              <w:t>Vagueness: 0.2876  |  Complexity: 0.0790</w:t>
            </w:r>
          </w:p>
        </w:tc>
      </w:tr>
      <w:tr>
        <w:tc>
          <w:tcPr>
            <w:tcW w:type="dxa" w:w="2880"/>
            <w:shd w:val="clear" w:color="auto" w:fill="EBF3FB"/>
          </w:tcPr>
          <w:p>
            <w:pPr>
              <w:spacing w:before="60" w:after="60"/>
            </w:pPr>
            <w:r>
              <w:rPr>
                <w:rFonts w:ascii="Arial" w:hAnsi="Arial"/>
                <w:b/>
                <w:sz w:val="17"/>
              </w:rPr>
              <w:t>Change (latest vs prior)</w:t>
            </w:r>
          </w:p>
        </w:tc>
        <w:tc>
          <w:tcPr>
            <w:tcW w:type="dxa" w:w="7200"/>
          </w:tcPr>
          <w:p>
            <w:pPr>
              <w:spacing w:before="60" w:after="60"/>
            </w:pPr>
            <w:r>
              <w:rPr>
                <w:rFonts w:ascii="Arial" w:hAnsi="Arial"/>
                <w:sz w:val="17"/>
              </w:rPr>
              <w:t>Vagueness: +0.0065  |  Complexity: -0.0064</w:t>
            </w:r>
          </w:p>
        </w:tc>
      </w:tr>
      <w:tr>
        <w:tc>
          <w:tcPr>
            <w:tcW w:type="dxa" w:w="2880"/>
            <w:shd w:val="clear" w:color="auto" w:fill="EBF3FB"/>
          </w:tcPr>
          <w:p>
            <w:pPr>
              <w:spacing w:before="60" w:after="60"/>
            </w:pPr>
            <w:r>
              <w:rPr>
                <w:rFonts w:ascii="Arial" w:hAnsi="Arial"/>
                <w:b/>
                <w:sz w:val="17"/>
              </w:rPr>
              <w:t>Sector Average</w:t>
            </w:r>
          </w:p>
        </w:tc>
        <w:tc>
          <w:tcPr>
            <w:tcW w:type="dxa" w:w="7200"/>
          </w:tcPr>
          <w:p>
            <w:pPr>
              <w:spacing w:before="60" w:after="60"/>
            </w:pPr>
            <w:r>
              <w:rPr>
                <w:rFonts w:ascii="Arial" w:hAnsi="Arial"/>
                <w:sz w:val="17"/>
              </w:rPr>
              <w:t>Vagueness: 0.5066  |  P25: 0.4199  |  P75: 0.5957  (185 companies)</w:t>
            </w:r>
          </w:p>
        </w:tc>
      </w:tr>
      <w:tr>
        <w:tc>
          <w:tcPr>
            <w:tcW w:type="dxa" w:w="2880"/>
            <w:shd w:val="clear" w:color="auto" w:fill="EBF3FB"/>
          </w:tcPr>
          <w:p>
            <w:pPr>
              <w:spacing w:before="60" w:after="60"/>
            </w:pPr>
            <w:r>
              <w:rPr>
                <w:rFonts w:ascii="Arial" w:hAnsi="Arial"/>
                <w:b/>
                <w:sz w:val="17"/>
              </w:rPr>
              <w:t>Model Performance</w:t>
            </w:r>
          </w:p>
        </w:tc>
        <w:tc>
          <w:tcPr>
            <w:tcW w:type="dxa" w:w="7200"/>
          </w:tcPr>
          <w:p>
            <w:pPr>
              <w:spacing w:before="60" w:after="60"/>
            </w:pPr>
            <w:r>
              <w:rPr>
                <w:rFonts w:ascii="Arial" w:hAnsi="Arial"/>
                <w:sz w:val="17"/>
              </w:rPr>
              <w:t>Vagueness F1: 0.876  |  Complexity F1: 0.826</w:t>
            </w:r>
          </w:p>
        </w:tc>
      </w:tr>
    </w:tbl>
    <w:p>
      <w:pPr>
        <w:spacing w:after="80"/>
      </w:pPr>
    </w:p>
    <w:p>
      <w:pPr>
        <w:spacing w:before="280" w:after="80"/>
      </w:pPr>
      <w:r>
        <w:rPr>
          <w:rFonts w:ascii="Arial" w:hAnsi="Arial"/>
          <w:b/>
          <w:color w:val="1F3D6B"/>
          <w:sz w:val="20"/>
        </w:rPr>
        <w:t>1. EXECUTIVE SUMMARY</w:t>
      </w:r>
    </w:p>
    <w:p>
      <w:pPr>
        <w:spacing w:before="80" w:after="80"/>
        <w:pBdr>
          <w:bottom w:val="single" w:sz="8" w:space="1" w:color="2E75B6"/>
        </w:pBdr>
      </w:pPr>
    </w:p>
    <w:p>
      <w:pPr>
        <w:spacing w:after="120" w:before="40"/>
      </w:pPr>
      <w:r>
        <w:rPr>
          <w:rFonts w:ascii="Arial" w:hAnsi="Arial"/>
          <w:i w:val="0"/>
          <w:color w:val="000000"/>
          <w:sz w:val="18"/>
        </w:rPr>
        <w:t>Dover Corporation (DOV) presents a divergent signal profile: the FinBERT statistical model ranks disclosure vagueness as LOW (well below sector mean at the 25th percentile or better), while Claude's qualitative analysis returned UNKNOWN due to insufficient flagged evidence. This divergence likely reflects a company whose filings are substantively clean rather than evasive. No immediate supply chain transparency concern is indicated. Recommend maintaining standard monitoring cadence with no escalation required at this time.</w:t>
      </w:r>
    </w:p>
    <w:p>
      <w:pPr>
        <w:spacing w:before="280" w:after="80"/>
      </w:pPr>
      <w:r>
        <w:rPr>
          <w:rFonts w:ascii="Arial" w:hAnsi="Arial"/>
          <w:b/>
          <w:color w:val="1F3D6B"/>
          <w:sz w:val="20"/>
        </w:rPr>
        <w:t>2. DISCLOSURE QUALITY ASSESSMENT</w:t>
      </w:r>
    </w:p>
    <w:p>
      <w:pPr>
        <w:spacing w:before="80" w:after="80"/>
        <w:pBdr>
          <w:bottom w:val="single" w:sz="8" w:space="1" w:color="2E75B6"/>
        </w:pBdr>
      </w:pPr>
    </w:p>
    <w:p>
      <w:pPr>
        <w:spacing w:after="120" w:before="40"/>
      </w:pPr>
      <w:r>
        <w:rPr>
          <w:rFonts w:ascii="Arial" w:hAnsi="Arial"/>
          <w:i w:val="0"/>
          <w:color w:val="000000"/>
          <w:sz w:val="18"/>
        </w:rPr>
        <w:t>DOV's latest 10-Q vagueness score of 0.2941 sits 0.2125 points below the sector mean of 0.5066, placing it firmly in the most transparent quartile among 185 industrials peers. The quarter-over-quarter vagueness change of +0.0065 is negligible, and the broader trend from the elevated 2024 10-K (0.6032) to consistently sub-0.30 quarterly filings suggests DOV has materially improved disclosure specificity over the trailing twelve months. Complexity remains low and stable.</w:t>
      </w:r>
    </w:p>
    <w:p>
      <w:pPr>
        <w:spacing w:before="280" w:after="80"/>
      </w:pPr>
      <w:r>
        <w:rPr>
          <w:rFonts w:ascii="Arial" w:hAnsi="Arial"/>
          <w:b/>
          <w:color w:val="1F3D6B"/>
          <w:sz w:val="20"/>
        </w:rPr>
        <w:t>3. KEY FINDINGS &amp; EVIDENCE</w:t>
      </w:r>
    </w:p>
    <w:p>
      <w:pPr>
        <w:spacing w:before="80" w:after="80"/>
        <w:pBdr>
          <w:bottom w:val="single" w:sz="8" w:space="1" w:color="2E75B6"/>
        </w:pBdr>
      </w:pPr>
    </w:p>
    <w:p>
      <w:pPr>
        <w:spacing w:after="120" w:before="40"/>
      </w:pPr>
      <w:r>
        <w:rPr>
          <w:rFonts w:ascii="Arial" w:hAnsi="Arial"/>
          <w:i w:val="0"/>
          <w:color w:val="000000"/>
          <w:sz w:val="18"/>
        </w:rPr>
        <w:t>The most notable pattern in DOV's filing history is the sharp improvement from the February 2024 10-K vagueness score of 0.6032 to subsequent quarterly filings consistently near 0.26–0.29. The February 2025 10-K registered at 0.4073 on only 17 extracted sentences, suggesting the annual filing's risk factor language naturally carries more hedging, but even this score sits below the sector median. The absence of any Claude-flagged disclosure degradation sentences is itself informative—Opus Pass 1 returned no actionable flags, supporting the interpretation that DOV's filings contain minimal evasive or newly vague language.</w:t>
      </w:r>
    </w:p>
    <w:p>
      <w:pPr>
        <w:spacing w:after="120" w:before="40"/>
      </w:pPr>
      <w:r>
        <w:rPr>
          <w:rFonts w:ascii="Arial" w:hAnsi="Arial"/>
          <w:i w:val="0"/>
          <w:color w:val="000000"/>
          <w:sz w:val="18"/>
        </w:rPr>
        <w:t>The low sentence count in the 2025 10-K (17 versus 89 in the prior year) warrants brief attention. This could reflect changes in extraction methodology or a substantive restructuring of risk disclosures. However, quarterly filings with 214–274 sentences show robust coverage and consistently low vagueness, mitigating concern that DOV is reducing disclosure volume to obscure material risks.</w:t>
      </w:r>
    </w:p>
    <w:p>
      <w:pPr>
        <w:spacing w:before="280" w:after="80"/>
      </w:pPr>
      <w:r>
        <w:rPr>
          <w:rFonts w:ascii="Arial" w:hAnsi="Arial"/>
          <w:b/>
          <w:color w:val="1F3D6B"/>
          <w:sz w:val="20"/>
        </w:rPr>
        <w:t>4. PEER COMPARISON</w:t>
      </w:r>
    </w:p>
    <w:p>
      <w:pPr>
        <w:spacing w:before="80" w:after="80"/>
        <w:pBdr>
          <w:bottom w:val="single" w:sz="8" w:space="1" w:color="2E75B6"/>
        </w:pBdr>
      </w:pPr>
    </w:p>
    <w:p>
      <w:pPr>
        <w:spacing w:after="120" w:before="40"/>
      </w:pPr>
      <w:r>
        <w:rPr>
          <w:rFonts w:ascii="Arial" w:hAnsi="Arial"/>
          <w:i w:val="0"/>
          <w:color w:val="000000"/>
          <w:sz w:val="18"/>
        </w:rPr>
        <w:t>Within the 185-company industrial sector universe, DOV ranks among the most transparent filers. Its latest vagueness score of 0.2941 is well below the 25th percentile threshold of 0.4199, indicating disclosure quality that exceeds roughly three-quarters of sector peers. Note that peer selection is based on broad sector classification and may not precisely match DOV's diversified industrial conglomerate profile.</w:t>
      </w:r>
    </w:p>
    <w:p>
      <w:pPr>
        <w:spacing w:before="280" w:after="80"/>
      </w:pPr>
      <w:r>
        <w:rPr>
          <w:rFonts w:ascii="Arial" w:hAnsi="Arial"/>
          <w:b/>
          <w:color w:val="1F3D6B"/>
          <w:sz w:val="20"/>
        </w:rPr>
        <w:t>5. RECOMMENDED ANALYST ACTIONS</w:t>
      </w:r>
    </w:p>
    <w:p>
      <w:pPr>
        <w:spacing w:before="80" w:after="80"/>
        <w:pBdr>
          <w:bottom w:val="single" w:sz="8" w:space="1" w:color="2E75B6"/>
        </w:pBdr>
      </w:pPr>
    </w:p>
    <w:p>
      <w:pPr>
        <w:spacing w:after="120" w:before="40"/>
      </w:pPr>
      <w:r>
        <w:rPr>
          <w:rFonts w:ascii="Arial" w:hAnsi="Arial"/>
          <w:i w:val="0"/>
          <w:color w:val="000000"/>
          <w:sz w:val="18"/>
        </w:rPr>
        <w:t>Analysts should maintain DOV at standard monitoring frequency given the benign signal profile. First, verify the low sentence count in the 2025 10-K by reviewing the full filing for any restructured risk factor sections that may have shifted material disclosures. Second, compare DOV's supply-chain-specific language in the latest 10-Q against its direct diversified industrial peers (e.g., Illinois Tool Works, Parker Hannifin) to confirm relative transparency holds within a tighter comparator set.</w:t>
      </w:r>
    </w:p>
    <w:p>
      <w:pPr>
        <w:spacing w:before="80" w:after="80"/>
        <w:pBdr>
          <w:bottom w:val="single" w:sz="4" w:space="1" w:color="CCCCCC"/>
        </w:pBdr>
      </w:pP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EBF3FB"/>
          </w:tcPr>
          <w:p>
            <w:pPr>
              <w:spacing w:before="60" w:after="60"/>
            </w:pPr>
            <w:r>
              <w:rPr>
                <w:rFonts w:ascii="Arial" w:hAnsi="Arial"/>
                <w:b/>
                <w:sz w:val="17"/>
              </w:rPr>
              <w:t>FinBERT classifiers</w:t>
            </w:r>
          </w:p>
        </w:tc>
        <w:tc>
          <w:tcPr>
            <w:tcW w:type="dxa" w:w="7200"/>
          </w:tcPr>
          <w:p>
            <w:pPr>
              <w:spacing w:before="60" w:after="60"/>
            </w:pPr>
            <w:r>
              <w:rPr>
                <w:rFonts w:ascii="Arial" w:hAnsi="Arial"/>
                <w:sz w:val="17"/>
              </w:rPr>
              <w:t>Vagueness (F1 0.876) + Complexity (F1 0.826)</w:t>
            </w:r>
          </w:p>
        </w:tc>
      </w:tr>
      <w:tr>
        <w:tc>
          <w:tcPr>
            <w:tcW w:type="dxa" w:w="2880"/>
            <w:shd w:val="clear" w:color="auto" w:fill="EBF3FB"/>
          </w:tcPr>
          <w:p>
            <w:pPr>
              <w:spacing w:before="60" w:after="60"/>
            </w:pPr>
            <w:r>
              <w:rPr>
                <w:rFonts w:ascii="Arial" w:hAnsi="Arial"/>
                <w:b/>
                <w:sz w:val="17"/>
              </w:rPr>
              <w:t>Screening</w:t>
            </w:r>
          </w:p>
        </w:tc>
        <w:tc>
          <w:tcPr>
            <w:tcW w:type="dxa" w:w="7200"/>
          </w:tcPr>
          <w:p>
            <w:pPr>
              <w:spacing w:before="60" w:after="60"/>
            </w:pPr>
            <w:r>
              <w:rPr>
                <w:rFonts w:ascii="Arial" w:hAnsi="Arial"/>
                <w:sz w:val="17"/>
              </w:rPr>
              <w:t>GPT-4o-mini | Deep analysis: Claude Opus 4.6</w:t>
            </w:r>
          </w:p>
        </w:tc>
      </w:tr>
      <w:tr>
        <w:tc>
          <w:tcPr>
            <w:tcW w:type="dxa" w:w="2880"/>
            <w:shd w:val="clear" w:color="auto" w:fill="EBF3FB"/>
          </w:tcPr>
          <w:p>
            <w:pPr>
              <w:spacing w:before="60" w:after="60"/>
            </w:pPr>
            <w:r>
              <w:rPr>
                <w:rFonts w:ascii="Arial" w:hAnsi="Arial"/>
                <w:b/>
                <w:sz w:val="17"/>
              </w:rPr>
              <w:t>Data source</w:t>
            </w:r>
          </w:p>
        </w:tc>
        <w:tc>
          <w:tcPr>
            <w:tcW w:type="dxa" w:w="7200"/>
          </w:tcPr>
          <w:p>
            <w:pPr>
              <w:spacing w:before="60" w:after="60"/>
            </w:pPr>
            <w:r>
              <w:rPr>
                <w:rFonts w:ascii="Arial" w:hAnsi="Arial"/>
                <w:sz w:val="17"/>
              </w:rPr>
              <w:t>SEC EDGAR (10-K, 10-Q) | Graph: Neo4j</w:t>
            </w:r>
          </w:p>
        </w:tc>
      </w:tr>
    </w:tbl>
    <w:p>
      <w:pPr>
        <w:spacing w:after="80"/>
      </w:pPr>
    </w:p>
    <w:p>
      <w:pPr>
        <w:spacing w:before="80"/>
      </w:pPr>
      <w:r>
        <w:rPr>
          <w:rFonts w:ascii="Arial" w:hAnsi="Arial"/>
          <w:i/>
          <w:color w:val="606060"/>
          <w:sz w:val="14"/>
        </w:rPr>
        <w:t>IMPORTANT NOTICE: This is an automated screening output from the Disclosure Degradation Detection System (DDDS). It does not constitute investment advice. All findings are probabilistic signals requiring independent verification. Consistent with CFA Institute Standard V(A) — Diligence and Reasonable Basis.</w:t>
      </w:r>
    </w:p>
    <w:p>
      <w:r>
        <w:rPr>
          <w:rFonts w:ascii="Arial" w:hAnsi="Arial"/>
          <w:color w:val="606060"/>
          <w:sz w:val="14"/>
        </w:rPr>
        <w:t>Generated: 09 April 2026 15:43  |  DDDS v1.0 — The Transparency Project</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