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F3D6B"/>
          <w:sz w:val="28"/>
        </w:rPr>
        <w:t>SUPPLIER DISCLOSURE RISK MEMO</w:t>
      </w:r>
    </w:p>
    <w:p>
      <w:pPr>
        <w:spacing w:after="80"/>
      </w:pPr>
      <w:r>
        <w:rPr>
          <w:rFonts w:ascii="Arial" w:hAnsi="Arial"/>
          <w:b/>
          <w:color w:val="1F3D6B"/>
          <w:sz w:val="24"/>
        </w:rPr>
        <w:t>EKSO</w:t>
      </w:r>
    </w:p>
    <w:p>
      <w:pPr>
        <w:spacing w:after="40"/>
      </w:pPr>
      <w:r>
        <w:rPr>
          <w:rFonts w:ascii="Arial" w:hAnsi="Arial"/>
          <w:b/>
          <w:color w:val="1F3D6B"/>
          <w:sz w:val="20"/>
        </w:rPr>
        <w:t xml:space="preserve">CLAUDE ANALYSIS: </w:t>
      </w:r>
      <w:r>
        <w:rPr>
          <w:rFonts w:ascii="Arial" w:hAnsi="Arial"/>
          <w:b/>
          <w:color w:val="388638"/>
          <w:sz w:val="20"/>
        </w:rPr>
        <w:t>LOW</w:t>
      </w:r>
      <w:r>
        <w:rPr>
          <w:rFonts w:ascii="Arial" w:hAnsi="Arial"/>
          <w:color w:val="606060"/>
          <w:sz w:val="20"/>
        </w:rPr>
        <w:t xml:space="preserve">    |    </w:t>
      </w:r>
      <w:r>
        <w:rPr>
          <w:rFonts w:ascii="Arial" w:hAnsi="Arial"/>
          <w:b/>
          <w:color w:val="1F3D6B"/>
          <w:sz w:val="20"/>
        </w:rPr>
        <w:t xml:space="preserve">FINBERT VAGUENESS: </w:t>
      </w:r>
      <w:r>
        <w:rPr>
          <w:rFonts w:ascii="Arial" w:hAnsi="Arial"/>
          <w:b/>
          <w:color w:val="ED7D31"/>
          <w:sz w:val="20"/>
        </w:rPr>
        <w:t>MEDIUM</w:t>
      </w:r>
    </w:p>
    <w:p>
      <w:pPr>
        <w:spacing w:after="80"/>
      </w:pPr>
      <w:r>
        <w:rPr>
          <w:rFonts w:ascii="Arial" w:hAnsi="Arial"/>
          <w:color w:val="606060"/>
          <w:sz w:val="17"/>
        </w:rPr>
        <w:t>Generated: 09 April 2026  |  Genuine: 1  |  Borderline: 2  |  Dismissed: 7</w:t>
      </w:r>
    </w:p>
    <w:p>
      <w:pPr>
        <w:spacing w:before="80" w:after="80"/>
        <w:pBdr>
          <w:bottom w:val="single" w:sz="16" w:space="1" w:color="1F3D6B"/>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Most Recent (10-Q 2025-07-28)</w:t>
            </w:r>
          </w:p>
        </w:tc>
        <w:tc>
          <w:tcPr>
            <w:tcW w:type="dxa" w:w="7200"/>
          </w:tcPr>
          <w:p>
            <w:pPr>
              <w:spacing w:before="60" w:after="60"/>
            </w:pPr>
            <w:r>
              <w:rPr>
                <w:rFonts w:ascii="Arial" w:hAnsi="Arial"/>
                <w:sz w:val="17"/>
              </w:rPr>
              <w:t>Vagueness: 0.4242  |  Complexity: 0.1808</w:t>
            </w:r>
          </w:p>
        </w:tc>
      </w:tr>
      <w:tr>
        <w:tc>
          <w:tcPr>
            <w:tcW w:type="dxa" w:w="2880"/>
            <w:shd w:val="clear" w:color="auto" w:fill="EBF3FB"/>
          </w:tcPr>
          <w:p>
            <w:pPr>
              <w:spacing w:before="60" w:after="60"/>
            </w:pPr>
            <w:r>
              <w:rPr>
                <w:rFonts w:ascii="Arial" w:hAnsi="Arial"/>
                <w:b/>
                <w:sz w:val="17"/>
              </w:rPr>
              <w:t>Prior (10-Q 2025-05-05)</w:t>
            </w:r>
          </w:p>
        </w:tc>
        <w:tc>
          <w:tcPr>
            <w:tcW w:type="dxa" w:w="7200"/>
          </w:tcPr>
          <w:p>
            <w:pPr>
              <w:spacing w:before="60" w:after="60"/>
            </w:pPr>
            <w:r>
              <w:rPr>
                <w:rFonts w:ascii="Arial" w:hAnsi="Arial"/>
                <w:sz w:val="17"/>
              </w:rPr>
              <w:t>Vagueness: 0.4282  |  Complexity: 0.2056</w:t>
            </w:r>
          </w:p>
        </w:tc>
      </w:tr>
      <w:tr>
        <w:tc>
          <w:tcPr>
            <w:tcW w:type="dxa" w:w="2880"/>
            <w:shd w:val="clear" w:color="auto" w:fill="EBF3FB"/>
          </w:tcPr>
          <w:p>
            <w:pPr>
              <w:spacing w:before="60" w:after="60"/>
            </w:pPr>
            <w:r>
              <w:rPr>
                <w:rFonts w:ascii="Arial" w:hAnsi="Arial"/>
                <w:b/>
                <w:sz w:val="17"/>
              </w:rPr>
              <w:t>Change (latest vs prior)</w:t>
            </w:r>
          </w:p>
        </w:tc>
        <w:tc>
          <w:tcPr>
            <w:tcW w:type="dxa" w:w="7200"/>
          </w:tcPr>
          <w:p>
            <w:pPr>
              <w:spacing w:before="60" w:after="60"/>
            </w:pPr>
            <w:r>
              <w:rPr>
                <w:rFonts w:ascii="Arial" w:hAnsi="Arial"/>
                <w:sz w:val="17"/>
              </w:rPr>
              <w:t>Vagueness: -0.0040  |  Complexity: -0.0248</w:t>
            </w:r>
          </w:p>
        </w:tc>
      </w:tr>
      <w:tr>
        <w:tc>
          <w:tcPr>
            <w:tcW w:type="dxa" w:w="2880"/>
            <w:shd w:val="clear" w:color="auto" w:fill="EBF3FB"/>
          </w:tcPr>
          <w:p>
            <w:pPr>
              <w:spacing w:before="60" w:after="60"/>
            </w:pPr>
            <w:r>
              <w:rPr>
                <w:rFonts w:ascii="Arial" w:hAnsi="Arial"/>
                <w:b/>
                <w:sz w:val="17"/>
              </w:rPr>
              <w:t>Sector Average</w:t>
            </w:r>
          </w:p>
        </w:tc>
        <w:tc>
          <w:tcPr>
            <w:tcW w:type="dxa" w:w="7200"/>
          </w:tcPr>
          <w:p>
            <w:pPr>
              <w:spacing w:before="60" w:after="60"/>
            </w:pPr>
            <w:r>
              <w:rPr>
                <w:rFonts w:ascii="Arial" w:hAnsi="Arial"/>
                <w:sz w:val="17"/>
              </w:rPr>
              <w:t>Vagueness: 0.5066  |  P25: 0.4199  |  P75: 0.5957  (185 companies)</w:t>
            </w:r>
          </w:p>
        </w:tc>
      </w:tr>
      <w:tr>
        <w:tc>
          <w:tcPr>
            <w:tcW w:type="dxa" w:w="2880"/>
            <w:shd w:val="clear" w:color="auto" w:fill="EBF3FB"/>
          </w:tcPr>
          <w:p>
            <w:pPr>
              <w:spacing w:before="60" w:after="60"/>
            </w:pPr>
            <w:r>
              <w:rPr>
                <w:rFonts w:ascii="Arial" w:hAnsi="Arial"/>
                <w:b/>
                <w:sz w:val="17"/>
              </w:rPr>
              <w:t>Model Performance</w:t>
            </w:r>
          </w:p>
        </w:tc>
        <w:tc>
          <w:tcPr>
            <w:tcW w:type="dxa" w:w="7200"/>
          </w:tcPr>
          <w:p>
            <w:pPr>
              <w:spacing w:before="60" w:after="60"/>
            </w:pPr>
            <w:r>
              <w:rPr>
                <w:rFonts w:ascii="Arial" w:hAnsi="Arial"/>
                <w:sz w:val="17"/>
              </w:rPr>
              <w:t>Vagueness F1: 0.876  |  Complexity F1: 0.826</w:t>
            </w:r>
          </w:p>
        </w:tc>
      </w:tr>
    </w:tbl>
    <w:p>
      <w:pPr>
        <w:spacing w:after="80"/>
      </w:pPr>
    </w:p>
    <w:p>
      <w:pPr>
        <w:spacing w:before="280" w:after="80"/>
      </w:pPr>
      <w:r>
        <w:rPr>
          <w:rFonts w:ascii="Arial" w:hAnsi="Arial"/>
          <w:b/>
          <w:color w:val="1F3D6B"/>
          <w:sz w:val="20"/>
        </w:rPr>
        <w:t>1. EXECUTIVE SUMMARY</w:t>
      </w:r>
    </w:p>
    <w:p>
      <w:pPr>
        <w:spacing w:before="80" w:after="80"/>
        <w:pBdr>
          <w:bottom w:val="single" w:sz="8" w:space="1" w:color="2E75B6"/>
        </w:pBdr>
      </w:pPr>
    </w:p>
    <w:p>
      <w:pPr>
        <w:spacing w:after="120" w:before="40"/>
      </w:pPr>
      <w:r>
        <w:rPr>
          <w:rFonts w:ascii="Arial" w:hAnsi="Arial"/>
          <w:i w:val="0"/>
          <w:color w:val="000000"/>
          <w:sz w:val="18"/>
        </w:rPr>
        <w:t>Ekso Bionics Holdings, Inc. (EKSO) presents a divergent disclosure signal: Claude Analysis flags LOW risk based on substantive review of filing changes, while FinBERT ranks the company at MEDIUM sector-relative vagueness. The primary concern is the removal of detailed international risk factors, tariff mitigation language, and inflationary environment discussion from the most recent 10-Q — notable given EKSO's international manufacturing exposure. The FinBERT divergence appears driven by elevated annual filing vagueness scores. Recommend routine monitoring with targeted verification of international risk disclosures.</w:t>
      </w:r>
    </w:p>
    <w:p>
      <w:pPr>
        <w:spacing w:before="280" w:after="80"/>
      </w:pPr>
      <w:r>
        <w:rPr>
          <w:rFonts w:ascii="Arial" w:hAnsi="Arial"/>
          <w:b/>
          <w:color w:val="1F3D6B"/>
          <w:sz w:val="20"/>
        </w:rPr>
        <w:t>2. DISCLOSURE QUALITY ASSESSMENT</w:t>
      </w:r>
    </w:p>
    <w:p>
      <w:pPr>
        <w:spacing w:before="80" w:after="80"/>
        <w:pBdr>
          <w:bottom w:val="single" w:sz="8" w:space="1" w:color="2E75B6"/>
        </w:pBdr>
      </w:pPr>
    </w:p>
    <w:p>
      <w:pPr>
        <w:spacing w:after="120" w:before="40"/>
      </w:pPr>
      <w:r>
        <w:rPr>
          <w:rFonts w:ascii="Arial" w:hAnsi="Arial"/>
          <w:i w:val="0"/>
          <w:color w:val="000000"/>
          <w:sz w:val="18"/>
        </w:rPr>
        <w:t>EKSO's latest 10-Q vagueness score of 0.4242 sits below the sector mean of 0.5066, placing the company in relatively transparent territory for quarterly filings. However, the annual 10-K scores (0.6375 and 0.6517) exceed the sector 75th percentile of 0.5957, creating the MEDIUM composite ranking. The latest quarter-over-quarter change is negligible (−0.004 vagueness), indicating stable quarterly disclosure quality. The divergence between 10-K and 10-Q vagueness warrants attention at the next annual filing cycle.</w:t>
      </w:r>
    </w:p>
    <w:p>
      <w:pPr>
        <w:spacing w:before="280" w:after="80"/>
      </w:pPr>
      <w:r>
        <w:rPr>
          <w:rFonts w:ascii="Arial" w:hAnsi="Arial"/>
          <w:b/>
          <w:color w:val="1F3D6B"/>
          <w:sz w:val="20"/>
        </w:rPr>
        <w:t>3. KEY FINDINGS &amp; EVIDENCE</w:t>
      </w:r>
    </w:p>
    <w:p>
      <w:pPr>
        <w:spacing w:before="80" w:after="80"/>
        <w:pBdr>
          <w:bottom w:val="single" w:sz="8" w:space="1" w:color="2E75B6"/>
        </w:pBdr>
      </w:pPr>
    </w:p>
    <w:p>
      <w:pPr>
        <w:spacing w:after="120" w:before="40"/>
      </w:pPr>
      <w:r>
        <w:rPr>
          <w:rFonts w:ascii="Arial" w:hAnsi="Arial"/>
          <w:i w:val="0"/>
          <w:color w:val="000000"/>
          <w:sz w:val="18"/>
        </w:rPr>
        <w:t>The sole genuine finding concerns the removal of comprehensive international risk factor language from the Q2 2025 10-Q. The prior filing enumerated specific risks including protectionist trade laws, foreign exchange controls, repatriation restrictions, and contained an explicit statement that management was "actively monitoring developments in trade policies and...prepared to take necessary actions to mitigate these risks" . The current filing replaces this with a cursory reference to no material changes beyond federal funding cuts . This is material for supply chain counterparty assessment given EKSO's international operations and current tariff volatility.</w:t>
      </w:r>
    </w:p>
    <w:p>
      <w:pPr>
        <w:spacing w:after="120" w:before="40"/>
      </w:pPr>
      <w:r>
        <w:rPr>
          <w:rFonts w:ascii="Arial" w:hAnsi="Arial"/>
          <w:i w:val="0"/>
          <w:color w:val="000000"/>
          <w:sz w:val="18"/>
        </w:rPr>
        <w:t>Two borderline findings involve moderate reductions in accounting estimate methodology detail — specifically around warranty cost estimation and lease accounting — and the apparent omission of the 2021 Warrants Black-Scholes assumptions table . The warrant disclosure reduction may be justified by approaching expiration and immateriality, but the accounting estimates trimming, while not individually concerning, contributes to an incremental transparency reduction pattern.</w:t>
      </w:r>
    </w:p>
    <w:p>
      <w:pPr>
        <w:spacing w:before="280" w:after="80"/>
      </w:pPr>
      <w:r>
        <w:rPr>
          <w:rFonts w:ascii="Arial" w:hAnsi="Arial"/>
          <w:b/>
          <w:color w:val="1F3D6B"/>
          <w:sz w:val="20"/>
        </w:rPr>
        <w:t>4. PEER COMPARISON</w:t>
      </w:r>
    </w:p>
    <w:p>
      <w:pPr>
        <w:spacing w:before="80" w:after="80"/>
        <w:pBdr>
          <w:bottom w:val="single" w:sz="8" w:space="1" w:color="2E75B6"/>
        </w:pBdr>
      </w:pPr>
    </w:p>
    <w:p>
      <w:pPr>
        <w:spacing w:after="120" w:before="40"/>
      </w:pPr>
      <w:r>
        <w:rPr>
          <w:rFonts w:ascii="Arial" w:hAnsi="Arial"/>
          <w:i w:val="0"/>
          <w:color w:val="000000"/>
          <w:sz w:val="18"/>
        </w:rPr>
        <w:t>Within the 185-company sector universe, EKSO's quarterly filing vagueness sits near the 25th percentile, suggesting above-average clarity in periodic reporting. Its annual filings, however, exceed the 75th percentile — an unusual bifurcation. Note that EKSO operates in a niche robotics/medical device segment, and the broad sector peer set may not capture appropriate comparators, which is a known limitation of this analysis.</w:t>
      </w:r>
    </w:p>
    <w:p>
      <w:pPr>
        <w:spacing w:before="280" w:after="80"/>
      </w:pPr>
      <w:r>
        <w:rPr>
          <w:rFonts w:ascii="Arial" w:hAnsi="Arial"/>
          <w:b/>
          <w:color w:val="1F3D6B"/>
          <w:sz w:val="20"/>
        </w:rPr>
        <w:t>5. RECOMMENDED ANALYST ACTIONS</w:t>
      </w:r>
    </w:p>
    <w:p>
      <w:pPr>
        <w:spacing w:before="80" w:after="80"/>
        <w:pBdr>
          <w:bottom w:val="single" w:sz="8" w:space="1" w:color="2E75B6"/>
        </w:pBdr>
      </w:pPr>
    </w:p>
    <w:p>
      <w:pPr>
        <w:spacing w:after="120" w:before="40"/>
      </w:pPr>
      <w:r>
        <w:rPr>
          <w:rFonts w:ascii="Arial" w:hAnsi="Arial"/>
          <w:i w:val="0"/>
          <w:color w:val="000000"/>
          <w:sz w:val="18"/>
        </w:rPr>
        <w:t>Analysts should cross-reference EKSO's most recent 10-K risk factors section to determine whether the international risk enumeration and tariff mitigation language removed from the 10-Q was retained in the annual filing or genuinely eliminated. Second, monitor the March 2026 10-K filing for whether annual vagueness scores continue their upward drift above the sector 75th percentile. Third, during any supplier due diligence calls with EKSO management, directly inquire about current trade policy exposure and mitigation strategies given the withdrawal of prior explicit disclosure on this topic.</w:t>
      </w:r>
    </w:p>
    <w:p>
      <w:pPr>
        <w:spacing w:before="80" w:after="80"/>
        <w:pBdr>
          <w:bottom w:val="single" w:sz="4" w:space="1" w:color="CCCCCC"/>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FinBERT classifiers</w:t>
            </w:r>
          </w:p>
        </w:tc>
        <w:tc>
          <w:tcPr>
            <w:tcW w:type="dxa" w:w="7200"/>
          </w:tcPr>
          <w:p>
            <w:pPr>
              <w:spacing w:before="60" w:after="60"/>
            </w:pPr>
            <w:r>
              <w:rPr>
                <w:rFonts w:ascii="Arial" w:hAnsi="Arial"/>
                <w:sz w:val="17"/>
              </w:rPr>
              <w:t>Vagueness (F1 0.876) + Complexity (F1 0.826)</w:t>
            </w:r>
          </w:p>
        </w:tc>
      </w:tr>
      <w:tr>
        <w:tc>
          <w:tcPr>
            <w:tcW w:type="dxa" w:w="2880"/>
            <w:shd w:val="clear" w:color="auto" w:fill="EBF3FB"/>
          </w:tcPr>
          <w:p>
            <w:pPr>
              <w:spacing w:before="60" w:after="60"/>
            </w:pPr>
            <w:r>
              <w:rPr>
                <w:rFonts w:ascii="Arial" w:hAnsi="Arial"/>
                <w:b/>
                <w:sz w:val="17"/>
              </w:rPr>
              <w:t>Screening</w:t>
            </w:r>
          </w:p>
        </w:tc>
        <w:tc>
          <w:tcPr>
            <w:tcW w:type="dxa" w:w="7200"/>
          </w:tcPr>
          <w:p>
            <w:pPr>
              <w:spacing w:before="60" w:after="60"/>
            </w:pPr>
            <w:r>
              <w:rPr>
                <w:rFonts w:ascii="Arial" w:hAnsi="Arial"/>
                <w:sz w:val="17"/>
              </w:rPr>
              <w:t>GPT-4o-mini | Deep analysis: Claude Opus 4.6</w:t>
            </w:r>
          </w:p>
        </w:tc>
      </w:tr>
      <w:tr>
        <w:tc>
          <w:tcPr>
            <w:tcW w:type="dxa" w:w="2880"/>
            <w:shd w:val="clear" w:color="auto" w:fill="EBF3FB"/>
          </w:tcPr>
          <w:p>
            <w:pPr>
              <w:spacing w:before="60" w:after="60"/>
            </w:pPr>
            <w:r>
              <w:rPr>
                <w:rFonts w:ascii="Arial" w:hAnsi="Arial"/>
                <w:b/>
                <w:sz w:val="17"/>
              </w:rPr>
              <w:t>Data source</w:t>
            </w:r>
          </w:p>
        </w:tc>
        <w:tc>
          <w:tcPr>
            <w:tcW w:type="dxa" w:w="7200"/>
          </w:tcPr>
          <w:p>
            <w:pPr>
              <w:spacing w:before="60" w:after="60"/>
            </w:pPr>
            <w:r>
              <w:rPr>
                <w:rFonts w:ascii="Arial" w:hAnsi="Arial"/>
                <w:sz w:val="17"/>
              </w:rPr>
              <w:t>SEC EDGAR (10-K, 10-Q) | Graph: Neo4j</w:t>
            </w:r>
          </w:p>
        </w:tc>
      </w:tr>
    </w:tbl>
    <w:p>
      <w:pPr>
        <w:spacing w:after="80"/>
      </w:pPr>
    </w:p>
    <w:p>
      <w:pPr>
        <w:spacing w:before="80"/>
      </w:pPr>
      <w:r>
        <w:rPr>
          <w:rFonts w:ascii="Arial" w:hAnsi="Arial"/>
          <w:i/>
          <w:color w:val="606060"/>
          <w:sz w:val="14"/>
        </w:rPr>
        <w:t>IMPORTANT NOTICE: This is an automated screening output from the Disclosure Degradation Detection System (DDDS). It does not constitute investment advice. All findings are probabilistic signals requiring independent verification. Consistent with CFA Institute Standard V(A) — Diligence and Reasonable Basis.</w:t>
      </w:r>
    </w:p>
    <w:p>
      <w:r>
        <w:rPr>
          <w:rFonts w:ascii="Arial" w:hAnsi="Arial"/>
          <w:color w:val="606060"/>
          <w:sz w:val="14"/>
        </w:rPr>
        <w:t>Generated: 09 April 2026 15:43  |  DDDS v1.0 — The Transparency Project</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