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EPAC</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1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2025-06-27)</w:t>
            </w:r>
          </w:p>
        </w:tc>
        <w:tc>
          <w:tcPr>
            <w:tcW w:type="dxa" w:w="7200"/>
          </w:tcPr>
          <w:p>
            <w:pPr>
              <w:spacing w:before="60" w:after="60"/>
            </w:pPr>
            <w:r>
              <w:rPr>
                <w:rFonts w:ascii="Arial" w:hAnsi="Arial"/>
                <w:sz w:val="17"/>
              </w:rPr>
              <w:t>Vagueness: 0.2481  |  Complexity: 0.1867</w:t>
            </w:r>
          </w:p>
        </w:tc>
      </w:tr>
      <w:tr>
        <w:tc>
          <w:tcPr>
            <w:tcW w:type="dxa" w:w="2880"/>
            <w:shd w:val="clear" w:color="auto" w:fill="EBF3FB"/>
          </w:tcPr>
          <w:p>
            <w:pPr>
              <w:spacing w:before="60" w:after="60"/>
            </w:pPr>
            <w:r>
              <w:rPr>
                <w:rFonts w:ascii="Arial" w:hAnsi="Arial"/>
                <w:b/>
                <w:sz w:val="17"/>
              </w:rPr>
              <w:t>Prior (10-Q 2025-03-26)</w:t>
            </w:r>
          </w:p>
        </w:tc>
        <w:tc>
          <w:tcPr>
            <w:tcW w:type="dxa" w:w="7200"/>
          </w:tcPr>
          <w:p>
            <w:pPr>
              <w:spacing w:before="60" w:after="60"/>
            </w:pPr>
            <w:r>
              <w:rPr>
                <w:rFonts w:ascii="Arial" w:hAnsi="Arial"/>
                <w:sz w:val="17"/>
              </w:rPr>
              <w:t>Vagueness: 0.2461  |  Complexity: 0.1707</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+0.0020  |  Complexity: +0.0160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EPAC presents minimal supply chain disclosure risk at this time. Both the Claude Analysis signal (LOW, one genuine flag and one borderline) and the FinBERT statistical signal (LOW, vagueness well below sector mean at the 25th percentile) converge on a benign assessment. The company's disclosure quality is above average for its sector, with quantified operational detail exceeding many peers. However, the removal of a management assertion on accounting estimate reasonableness warrants monitoring. Recommended action: maintain routine surveillance with no escalation.</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EPAC's FinBERT vagueness score of 0.248 in the latest 10-Q sits 0.259 points below the sector mean of 0.507, placing it firmly in the most transparent quartile among 185 industrials peers. The vagueness trend is essentially flat across the three most recent quarterly filings (0.256 to 0.246 to 0.248), suggesting stable, consistent disclosure practices. Complexity scores have ticked modestly higher (+0.016) but remain unremarkable. There is no statistical evidence of disclosure degradation.</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genuine flag involves the removal of management's explicit affirmation that accounting estimates are "reasonable and appropriate." The prior filing included this assertion as a preamble to the critical estimates discussion , while the current filing omits it entirely and proceeds directly into the description of judgmental estimates (see 10-Q filed 2025-06-27, p.23). While this could reflect a routine editorial decision or template change, the deletion of a management endorsement of estimate reasonableness is worth tracking, particularly if EPAC carries material goodwill or inventory subject to impairment risk.</w:t>
      </w:r>
    </w:p>
    <w:p>
      <w:pPr>
        <w:spacing w:after="120" w:before="40"/>
      </w:pPr>
      <w:r>
        <w:rPr>
          <w:rFonts w:ascii="Arial" w:hAnsi="Arial"/>
          <w:i w:val="0"/>
          <w:color w:val="000000"/>
          <w:sz w:val="18"/>
        </w:rPr>
        <w:t>A borderline flag concerns the potential disappearance of tariff-related risk factor language from the prior filing, which had specifically addressed retaliatory tariffs on U.S.-made goods and their adverse demand and cost implications (see 10-Q filed 2025-06-27, p.25). Given the current trade policy environment, the removal—if not consolidated elsewhere in the filing—would be counterintuitive. However, this may simply reflect reorganization of risk factors, and the flag remains unconfirmed without a full filing review.</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EPAC's disclosure quality ranks well above the sector median, with vagueness scores approximately 51% below the peer mean. Notably, the three peer-divergence flags identified in the initial analysis were all dismissed because EPAC was found to be the more transparent company in each comparison. A known limitation is that the peer set encompasses a broad 185-company industrial universe, which may dilute precision for EPAC's specific niche.</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perform two targeted steps. First, review EPAC's full 10-Q risk factors section to confirm whether tariff-related language was consolidated rather than eliminated, given the company's manufacturing exposure. Second, examine the critical accounting estimates footnotes for any changes in goodwill, inventory, or receivables assumptions that might contextualize the removal of management's reasonableness assertion. No escalation or portfolio action is warranted based on current signals.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15:44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