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ESAB</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2  |  Dismissed: 8</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2025-08-06)</w:t>
            </w:r>
          </w:p>
        </w:tc>
        <w:tc>
          <w:tcPr>
            <w:tcW w:type="dxa" w:w="7200"/>
          </w:tcPr>
          <w:p>
            <w:pPr>
              <w:spacing w:before="60" w:after="60"/>
            </w:pPr>
            <w:r>
              <w:rPr>
                <w:rFonts w:ascii="Arial" w:hAnsi="Arial"/>
                <w:sz w:val="17"/>
              </w:rPr>
              <w:t>Vagueness: 0.3723  |  Complexity: 0.1581</w:t>
            </w:r>
          </w:p>
        </w:tc>
      </w:tr>
      <w:tr>
        <w:tc>
          <w:tcPr>
            <w:tcW w:type="dxa" w:w="2880"/>
            <w:shd w:val="clear" w:color="auto" w:fill="EBF3FB"/>
          </w:tcPr>
          <w:p>
            <w:pPr>
              <w:spacing w:before="60" w:after="60"/>
            </w:pPr>
            <w:r>
              <w:rPr>
                <w:rFonts w:ascii="Arial" w:hAnsi="Arial"/>
                <w:b/>
                <w:sz w:val="17"/>
              </w:rPr>
              <w:t>Prior (10-Q 2025-05-01)</w:t>
            </w:r>
          </w:p>
        </w:tc>
        <w:tc>
          <w:tcPr>
            <w:tcW w:type="dxa" w:w="7200"/>
          </w:tcPr>
          <w:p>
            <w:pPr>
              <w:spacing w:before="60" w:after="60"/>
            </w:pPr>
            <w:r>
              <w:rPr>
                <w:rFonts w:ascii="Arial" w:hAnsi="Arial"/>
                <w:sz w:val="17"/>
              </w:rPr>
              <w:t>Vagueness: 0.5902  |  Complexity: 0.4289</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-0.2179  |  Complexity: -0.2708</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ESAB Corporation presents minimal supply chain disclosure risk. Both the Claude Analysis signal (LOW) and FinBERT statistical signal (LOW) converge, indicating stable-to-improving transparency. ESAB's latest filing vagueness score (0.37) sits well below the sector mean (0.51), and the trend is sharply improving with a −0.22 vagueness decline. Only one genuine flag was identified, likely attributable to block-matching artifacts rather than intentional obfuscation. No escalation is warranted; maintain routine monitoring cadence.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ESAB's FinBERT vagueness score of 0.37 in the most recent 10-Q places it meaningfully below the sector 25th percentile (0.42) and 13 points below the 185-company sector mean, indicating above-average clarity. The four-filing trend is decisively favorable: vagueness fell from 0.77 to 0.37 across the observation window. Complexity also declined sharply. This trajectory signals a company actively improving, not degrading, its disclosure specificity.</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sole genuine flag concerns a financial sustainability discussion block that, in isolation, contains only boilerplate forward-looking language: "Actual results may vary from what our management anticipates" (see 10-Q filed 2025-08-06, p.32). Compared to a peer's itemized cost drivers, this block appears thin. However, the Opus analysis confirms that detailed adjusted EBITDA reconciliations, segment margins, and specific dollar figures exist elsewhere in the Q2 filing, suggesting this is a block-matching limitation rather than substantive thinning.</w:t>
      </w:r>
    </w:p>
    <w:p>
      <w:pPr>
        <w:spacing w:after="120" w:before="40"/>
      </w:pPr>
      <w:r>
        <w:rPr>
          <w:rFonts w:ascii="Arial" w:hAnsi="Arial"/>
          <w:i w:val="0"/>
          <w:color w:val="000000"/>
          <w:sz w:val="18"/>
        </w:rPr>
        <w:t>Two borderline flags merit brief mention. The supply chain temporal flag notes that a cash flow discussion block lost specific discontinued-operations figures ($2.3M/$3.7M) between Q1 and Q2, but updated six-month totals ($7.2M/$8.5M) appear in the same filing (see 10-Q filed 2025-08-06, p.23). The regulatory flag notes FCPA/Bribery Act risk language absent from the 10-Q (see 10-Q filed 2025-05-01, p.30), which is standard practice when quarterly filings incorporate annual risk factors by reference. Neither flag indicates intentional disclosure reduction.</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Within the 185-company sector universe, ESAB's vagueness ranks in the bottom quartile (i.e., among the clearest disclosers). Several dismissed flags in the Opus analysis actually demonstrate ESAB's superior specificity relative to peers, particularly on tariff quantification and currency translation effects. Peer selection limitations inherent in the block-matching methodology may overstate the single genuine flag's materiality.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take three steps: first, cross-reference ESAB's Q2 10-Q adjusted EBITDA reconciliation against Q1's to confirm comparable granularity has been maintained, addressing the financial sustainability flag. Second, verify that the February 2025 10-K retains detailed FCPA/anti-corruption risk factor language that the 10-Q incorporates by reference. Third, continue routine quarterly monitoring with no change to risk tier, given the convergent LOW signals and favorable disclosure trend.</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15:44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