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EVLV</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14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2025-08-14)</w:t>
            </w:r>
          </w:p>
        </w:tc>
        <w:tc>
          <w:tcPr>
            <w:tcW w:type="dxa" w:w="7200"/>
          </w:tcPr>
          <w:p>
            <w:pPr>
              <w:spacing w:before="60" w:after="60"/>
            </w:pPr>
            <w:r>
              <w:rPr>
                <w:rFonts w:ascii="Arial" w:hAnsi="Arial"/>
                <w:sz w:val="17"/>
              </w:rPr>
              <w:t>Vagueness: 0.2814  |  Complexity: 0.2121</w:t>
            </w:r>
          </w:p>
        </w:tc>
      </w:tr>
      <w:tr>
        <w:tc>
          <w:tcPr>
            <w:tcW w:type="dxa" w:w="2880"/>
            <w:shd w:val="clear" w:color="auto" w:fill="EBF3FB"/>
          </w:tcPr>
          <w:p>
            <w:pPr>
              <w:spacing w:before="60" w:after="60"/>
            </w:pPr>
            <w:r>
              <w:rPr>
                <w:rFonts w:ascii="Arial" w:hAnsi="Arial"/>
                <w:b/>
                <w:sz w:val="17"/>
              </w:rPr>
              <w:t>Prior (10-Q 2025-05-20)</w:t>
            </w:r>
          </w:p>
        </w:tc>
        <w:tc>
          <w:tcPr>
            <w:tcW w:type="dxa" w:w="7200"/>
          </w:tcPr>
          <w:p>
            <w:pPr>
              <w:spacing w:before="60" w:after="60"/>
            </w:pPr>
            <w:r>
              <w:rPr>
                <w:rFonts w:ascii="Arial" w:hAnsi="Arial"/>
                <w:sz w:val="17"/>
              </w:rPr>
              <w:t>Vagueness: 0.3268  |  Complexity: 0.2233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-0.0454  |  Complexity: -0.0112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Evolv Technologies (EVLV) presents low supply chain disclosure risk based on converging LOW signals from both the Claude Analysis and FinBERT statistical model. Despite the company's well-documented operational challenges—including SEC/DOJ investigations, material weaknesses, and a prior restatement—disclosure quality remains detailed and transparent. One genuine finding involves the removal of a specific four-year revenue recognition period, which merits follow-up but does not indicate systematic disclosure degradation. Maintain routine monitoring cadence; no escalation warranted.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EVLV's latest 10-Q vagueness score of 0.28 sits well below the sector mean of 0.51, placing the company in approximately the bottom quartile for vagueness—a favorable positioning indicating above-average clarity. The most recent filing showed a modest improvement, with vagueness declining 4.5 percentage points quarter-over-quarter. While the annual 10-K filings carry higher vagueness (0.74), this is typical of annual risk-factor-heavy documents and does not signal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is the removal of the explicit four-year revenue recognition period from EVLV's disclosure. The prior filing stated revenue is recognized "ratably over the terms of our agreements with customers, which generally occurs over a four-year period," whereas the current filing omits the four-year benchmark entirely (see 10-Q filed 2025-08-14, p.60). This is a meaningful loss of a key modeling input for deferred revenue forecasting and warrants clarification on whether underlying contract terms have shifted or this was an editorial decision.</w:t>
      </w:r>
    </w:p>
    <w:p>
      <w:pPr>
        <w:spacing w:after="120" w:before="40"/>
      </w:pPr>
      <w:r>
        <w:rPr>
          <w:rFonts w:ascii="Arial" w:hAnsi="Arial"/>
          <w:i w:val="0"/>
          <w:color w:val="000000"/>
          <w:sz w:val="18"/>
        </w:rPr>
        <w:t>Two borderline findings involve potential consolidation of granular risk factor itemization into more narrative form. The prior period's detailed enumeration of macroeconomic risks appears to have been reorganized rather than removed (see 10-Q filed 2025-08-14, p.63). Similarly, the legal and regulatory risk disclosures—including FTC enforcement, SEC investigation, and SDNY inquiries—remain substantively intact across periods, with changes attributable primarily to section reorganization rather than content deletion (see 10-Q filed 2025-08-14, p.58). These do not represent material disclosure degradation.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comparisons yielded limited actionable findings, with most divergence flags dismissed as false positives driven by fundamental business model differences between EVLV's security screening platform and comparison companies in specialty printing and other hardware segments. This is a known limitation of the current peer selection methodology for niche-market companies and should be weighted accordingly.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the notes to EVLV's financial statements for remaining performance obligation disclosures and ASC 606 disaggregation to independently verify whether the typical contract term has changed from four years. Second, cross-reference quarterly deferred revenue roll-forward trends against historical four-year recognition assumptions to detect any silent shift in contract duration. Third, on the next earnings call or management interaction, directly ask whether the omission of the four-year period reflects evolving contract structures or a drafting change.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