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EXTR</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0  |  Borderline: 4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2025-08-18)</w:t>
            </w:r>
          </w:p>
        </w:tc>
        <w:tc>
          <w:tcPr>
            <w:tcW w:type="dxa" w:w="7200"/>
          </w:tcPr>
          <w:p>
            <w:pPr>
              <w:spacing w:before="60" w:after="60"/>
            </w:pPr>
            <w:r>
              <w:rPr>
                <w:rFonts w:ascii="Arial" w:hAnsi="Arial"/>
                <w:sz w:val="17"/>
              </w:rPr>
              <w:t>Vagueness: 0.8287  |  Complexity: 0.1006</w:t>
            </w:r>
          </w:p>
        </w:tc>
      </w:tr>
      <w:tr>
        <w:tc>
          <w:tcPr>
            <w:tcW w:type="dxa" w:w="2880"/>
            <w:shd w:val="clear" w:color="auto" w:fill="EBF3FB"/>
          </w:tcPr>
          <w:p>
            <w:pPr>
              <w:spacing w:before="60" w:after="60"/>
            </w:pPr>
            <w:r>
              <w:rPr>
                <w:rFonts w:ascii="Arial" w:hAnsi="Arial"/>
                <w:b/>
                <w:sz w:val="17"/>
              </w:rPr>
              <w:t>Prior (10-Q 2025-05-01)</w:t>
            </w:r>
          </w:p>
        </w:tc>
        <w:tc>
          <w:tcPr>
            <w:tcW w:type="dxa" w:w="7200"/>
          </w:tcPr>
          <w:p>
            <w:pPr>
              <w:spacing w:before="60" w:after="60"/>
            </w:pPr>
            <w:r>
              <w:rPr>
                <w:rFonts w:ascii="Arial" w:hAnsi="Arial"/>
                <w:sz w:val="17"/>
              </w:rPr>
              <w:t>Vagueness: 0.4854  |  Complexity: 0.1397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+0.3433  |  Complexity: -0.0391</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Extreme Networks (EXTR) presents a divergent disclosure risk signal: the Claude qualitative analysis rates disclosure degradation as LOW, finding generally strong transparency with meaningful new disclosures, while the FinBERT statistical model flags HIGH sector-relative vagueness (0.8287 vs. sector mean 0.5066), driven primarily by an anomalously small sentence sample in the 10-K filings. The qualitative flags center on unexplained removal of patent litigation and a dropped Critical Audit Matter. Recommended action: treat as MONITOR with focused diligence on litigation resolution and audit scope changes rather than escalation.</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EXTR's FinBERT vagueness score of 0.8287 places it well above the sector 75th percentile (0.5957), ranking among the most vague disclosures in a 185-company universe. However, the 10-K filings contain only 10 scored sentences each, making the metric statistically fragile — the quarterly 10-Q filings show a more moderate upward drift from 0.3753 to 0.4854. The apparent spike in the latest 10-K (+0.3433 vs. prior filing) largely reflects reversion to the annual filing's low sentence count rather than a genuine transparency deterioration.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concern is the complete disappearance of Orckit patent litigation (EP '364 and EP '077) from the fiscal 2025 10-K without any resolution disclosure, despite the prior filing detailing specific hearing dates and appellate status . Simultaneously, Grant Thornton removed inventory valuation as a Critical Audit Matter despite EXTR carrying $102.6M in inventory and prior-year excess/obsolete charges (see 10-K filed 2025-08-18, p.40). While CAM changes can reflect genuine risk resolution, the absence of explanatory language warrants verification.</w:t>
      </w:r>
    </w:p>
    <w:p>
      <w:pPr>
        <w:spacing w:after="120" w:before="40"/>
      </w:pPr>
      <w:r>
        <w:rPr>
          <w:rFonts w:ascii="Arial" w:hAnsi="Arial"/>
          <w:i w:val="0"/>
          <w:color w:val="000000"/>
          <w:sz w:val="18"/>
        </w:rPr>
        <w:t>Offsetting these concerns, EXTR added substantial new disclosures including a $47.5M litigation accrual, three derivative lawsuits, and detailed segment reconciliation with non-GAAP adjustments (see 10-K filed 2025-08-18, p.20). The net effect is a filing that is selectively less detailed on resolved or aging matters but meaningfully more transparent on emerging risks — consistent with the Claude LOW signal. The signal divergence is best explained by the FinBERT model's sensitivity to the 10-K's compressed sentence sample rather than substantive disclosure retreat.</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Peer comparison with A10 Networks (ATEN) reveals notably thinner litigation and supply chain disclosures at the peer level, though this likely reflects genuine differences in scale and litigation complexity rather than peer evasion . The peer set's limited overlap with EXTR's business profile is a known limitation of this analysis, and ATEN's smaller operational footprint makes direct comparisons imprecise.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verify the resolution status of the Orckit EP '364 and EP '077 patent matters through PACER or direct inquiry to EXTR's legal counsel, as silent removal of active litigation from filings is a red flag regardless of materiality. Second, review Grant Thornton's audit report and management's inventory reserve methodology to confirm the CAM removal reflects improved conditions. Third, monitor the securities class action amended complaint deadline of September 9, 2025, and the $47.5M accrual adequacy as derivative cases progress.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