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FGI</w:t>
      </w:r>
    </w:p>
    <w:p>
      <w:pPr>
        <w:spacing w:after="40"/>
      </w:pPr>
      <w:r>
        <w:rPr>
          <w:rFonts w:ascii="Arial" w:hAnsi="Arial"/>
          <w:b/>
          <w:color w:val="1F3D6B"/>
          <w:sz w:val="20"/>
        </w:rPr>
        <w:t xml:space="preserve">CLAUDE ANALYSIS: </w:t>
      </w:r>
      <w:r>
        <w:rPr>
          <w:rFonts w:ascii="Arial" w:hAnsi="Arial"/>
          <w:b/>
          <w:color w:val="388638"/>
          <w:sz w:val="20"/>
        </w:rPr>
        <w:t>LOW</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0  |  Borderline: 0  |  Dismissed: 11</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2025-08-13)</w:t>
            </w:r>
          </w:p>
        </w:tc>
        <w:tc>
          <w:tcPr>
            <w:tcW w:type="dxa" w:w="7200"/>
          </w:tcPr>
          <w:p>
            <w:pPr>
              <w:spacing w:before="60" w:after="60"/>
            </w:pPr>
            <w:r>
              <w:rPr>
                <w:rFonts w:ascii="Arial" w:hAnsi="Arial"/>
                <w:sz w:val="17"/>
              </w:rPr>
              <w:t>Vagueness: 0.2624  |  Complexity: 0.2150</w:t>
            </w:r>
          </w:p>
        </w:tc>
      </w:tr>
      <w:tr>
        <w:tc>
          <w:tcPr>
            <w:tcW w:type="dxa" w:w="2880"/>
            <w:shd w:val="clear" w:color="auto" w:fill="EBF3FB"/>
          </w:tcPr>
          <w:p>
            <w:pPr>
              <w:spacing w:before="60" w:after="60"/>
            </w:pPr>
            <w:r>
              <w:rPr>
                <w:rFonts w:ascii="Arial" w:hAnsi="Arial"/>
                <w:b/>
                <w:sz w:val="17"/>
              </w:rPr>
              <w:t>Prior (10-Q 2025-05-14)</w:t>
            </w:r>
          </w:p>
        </w:tc>
        <w:tc>
          <w:tcPr>
            <w:tcW w:type="dxa" w:w="7200"/>
          </w:tcPr>
          <w:p>
            <w:pPr>
              <w:spacing w:before="60" w:after="60"/>
            </w:pPr>
            <w:r>
              <w:rPr>
                <w:rFonts w:ascii="Arial" w:hAnsi="Arial"/>
                <w:sz w:val="17"/>
              </w:rPr>
              <w:t>Vagueness: 0.2438  |  Complexity: 0.1958</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+0.0186  |  Complexity: +0.0192</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FGI Industries Limited presents LOW supply chain disclosure risk, with both the Claude Analysis and FinBERT statistical signals converging on a LOW assessment. FGI's vagueness score sits well below the sector mean (25th percentile), indicating above-average transparency. Notably, FGI is unusually forthcoming about severe financial distress including going concern doubt and covenant breaches. No disclosure degradation was detected. Recommended action: maintain standard monitoring cadence but escalate operational credit risk assessment given the company's distressed financial condition.</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FGI's latest 10-Q vagueness score of 0.2624 falls meaningfully below the sector mean of 0.5066, placing the company approximately 24 percentage points more transparent than the average filer among 185 sector peers. The quarter-over-quarter change is negligible (+0.0186 in vagueness), indicating stable disclosure quality. The pattern across filings shows 10-K annual reports naturally score higher on vagueness than 10-Qs, consistent with their broader narrative content, but no deteriorating trend is evident.</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All eleven flags generated by the initial screening were dismissed upon deeper review. The flags predominantly reflected peer divergence comparisons where FGI consistently provided more granular disclosure than comparators. Several flags were misdirected, identifying a peer company's silence on a topic while attributing the concern to FGI. The peer comparisons largely stem from genuine business model differences — FGI sources manufacturing from Asia while certain peers operate domestically — rather than any evasion of material topics.</w:t>
      </w:r>
    </w:p>
    <w:p>
      <w:pPr>
        <w:spacing w:after="120" w:before="40"/>
      </w:pPr>
      <w:r>
        <w:rPr>
          <w:rFonts w:ascii="Arial" w:hAnsi="Arial"/>
          <w:i w:val="0"/>
          <w:color w:val="000000"/>
          <w:sz w:val="18"/>
        </w:rPr>
        <w:t>Critically, while FGI poses no disclosure quality concern, the content of its filings reveals acute financial stress. The company transparently discusses substantial doubt about its ability to continue as a going concern, active debt covenant breaches, and Nasdaq delisting risk. This candor is commendable from a transparency standpoint but signals material operational and credit risk. Analysts relying on FGI as an upstream supplier should treat the disclosure signal and the underlying business signal distinctly: transparency is strong, but counterparty viability warrants independent assessment.</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FGI discloses materially more than sector peers, sitting well below the 25th percentile for vagueness. Peer comparisons in the screening process involved companies with substantially different business models (e.g., domestic manufacturers versus FGI's Asia-sourced supply chain), which limits the diagnostic value of those specific comparisons. This is a known limitation of the current peer selection methodology.</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take three steps. First, maintain the current quarterly DDDS monitoring cadence; no escalation is warranted on disclosure quality. Second, independently assess FGI's creditworthiness and counterparty risk by reviewing covenant waiver status and liquidity runway, given the going concern disclosure. Third, monitor future filings for any softening of the currently transparent going concern and covenant breach language, as such a shift would represent genuine and actionable disclosure degradation.</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15:45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