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F3D6B"/>
          <w:sz w:val="28"/>
        </w:rPr>
        <w:t>SUPPLIER DISCLOSURE RISK MEMO</w:t>
      </w:r>
    </w:p>
    <w:p>
      <w:pPr>
        <w:spacing w:after="80"/>
      </w:pPr>
      <w:r>
        <w:rPr>
          <w:rFonts w:ascii="Arial" w:hAnsi="Arial"/>
          <w:b/>
          <w:color w:val="1F3D6B"/>
          <w:sz w:val="24"/>
        </w:rPr>
        <w:t>FLS</w:t>
      </w:r>
    </w:p>
    <w:p>
      <w:pPr>
        <w:spacing w:after="40"/>
      </w:pPr>
      <w:r>
        <w:rPr>
          <w:rFonts w:ascii="Arial" w:hAnsi="Arial"/>
          <w:b/>
          <w:color w:val="1F3D6B"/>
          <w:sz w:val="20"/>
        </w:rPr>
        <w:t xml:space="preserve">CLAUDE ANALYSIS: </w:t>
      </w:r>
      <w:r>
        <w:rPr>
          <w:rFonts w:ascii="Arial" w:hAnsi="Arial"/>
          <w:b/>
          <w:color w:val="ED7D31"/>
          <w:sz w:val="20"/>
        </w:rPr>
        <w:t>MEDIUM</w:t>
      </w:r>
      <w:r>
        <w:rPr>
          <w:rFonts w:ascii="Arial" w:hAnsi="Arial"/>
          <w:color w:val="606060"/>
          <w:sz w:val="20"/>
        </w:rPr>
        <w:t xml:space="preserve">    |    </w:t>
      </w:r>
      <w:r>
        <w:rPr>
          <w:rFonts w:ascii="Arial" w:hAnsi="Arial"/>
          <w:b/>
          <w:color w:val="1F3D6B"/>
          <w:sz w:val="20"/>
        </w:rPr>
        <w:t xml:space="preserve">FINBERT VAGUENESS: </w:t>
      </w:r>
      <w:r>
        <w:rPr>
          <w:rFonts w:ascii="Arial" w:hAnsi="Arial"/>
          <w:b/>
          <w:color w:val="C00000"/>
          <w:sz w:val="20"/>
        </w:rPr>
        <w:t>HIGH</w:t>
      </w:r>
    </w:p>
    <w:p>
      <w:pPr>
        <w:spacing w:after="80"/>
      </w:pPr>
      <w:r>
        <w:rPr>
          <w:rFonts w:ascii="Arial" w:hAnsi="Arial"/>
          <w:color w:val="606060"/>
          <w:sz w:val="17"/>
        </w:rPr>
        <w:t>Generated: 09 April 2026  |  Genuine: 3  |  Borderline: 2  |  Dismissed: 3</w:t>
      </w:r>
    </w:p>
    <w:p>
      <w:pPr>
        <w:spacing w:before="80" w:after="80"/>
        <w:pBdr>
          <w:bottom w:val="single" w:sz="16" w:space="1" w:color="1F3D6B"/>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Most Recent (10-Q 2025-07-30)</w:t>
            </w:r>
          </w:p>
        </w:tc>
        <w:tc>
          <w:tcPr>
            <w:tcW w:type="dxa" w:w="7200"/>
          </w:tcPr>
          <w:p>
            <w:pPr>
              <w:spacing w:before="60" w:after="60"/>
            </w:pPr>
            <w:r>
              <w:rPr>
                <w:rFonts w:ascii="Arial" w:hAnsi="Arial"/>
                <w:sz w:val="17"/>
              </w:rPr>
              <w:t>Vagueness: 0.7191  |  Complexity: 0.2288</w:t>
            </w:r>
          </w:p>
        </w:tc>
      </w:tr>
      <w:tr>
        <w:tc>
          <w:tcPr>
            <w:tcW w:type="dxa" w:w="2880"/>
            <w:shd w:val="clear" w:color="auto" w:fill="EBF3FB"/>
          </w:tcPr>
          <w:p>
            <w:pPr>
              <w:spacing w:before="60" w:after="60"/>
            </w:pPr>
            <w:r>
              <w:rPr>
                <w:rFonts w:ascii="Arial" w:hAnsi="Arial"/>
                <w:b/>
                <w:sz w:val="17"/>
              </w:rPr>
              <w:t>Prior (10-Q 2025-04-29)</w:t>
            </w:r>
          </w:p>
        </w:tc>
        <w:tc>
          <w:tcPr>
            <w:tcW w:type="dxa" w:w="7200"/>
          </w:tcPr>
          <w:p>
            <w:pPr>
              <w:spacing w:before="60" w:after="60"/>
            </w:pPr>
            <w:r>
              <w:rPr>
                <w:rFonts w:ascii="Arial" w:hAnsi="Arial"/>
                <w:sz w:val="17"/>
              </w:rPr>
              <w:t>Vagueness: 0.7194  |  Complexity: 0.2286</w:t>
            </w:r>
          </w:p>
        </w:tc>
      </w:tr>
      <w:tr>
        <w:tc>
          <w:tcPr>
            <w:tcW w:type="dxa" w:w="2880"/>
            <w:shd w:val="clear" w:color="auto" w:fill="EBF3FB"/>
          </w:tcPr>
          <w:p>
            <w:pPr>
              <w:spacing w:before="60" w:after="60"/>
            </w:pPr>
            <w:r>
              <w:rPr>
                <w:rFonts w:ascii="Arial" w:hAnsi="Arial"/>
                <w:b/>
                <w:sz w:val="17"/>
              </w:rPr>
              <w:t>Change (latest vs prior)</w:t>
            </w:r>
          </w:p>
        </w:tc>
        <w:tc>
          <w:tcPr>
            <w:tcW w:type="dxa" w:w="7200"/>
          </w:tcPr>
          <w:p>
            <w:pPr>
              <w:spacing w:before="60" w:after="60"/>
            </w:pPr>
            <w:r>
              <w:rPr>
                <w:rFonts w:ascii="Arial" w:hAnsi="Arial"/>
                <w:sz w:val="17"/>
              </w:rPr>
              <w:t>Vagueness: -0.0003  |  Complexity: +0.0002</w:t>
            </w:r>
          </w:p>
        </w:tc>
      </w:tr>
      <w:tr>
        <w:tc>
          <w:tcPr>
            <w:tcW w:type="dxa" w:w="2880"/>
            <w:shd w:val="clear" w:color="auto" w:fill="EBF3FB"/>
          </w:tcPr>
          <w:p>
            <w:pPr>
              <w:spacing w:before="60" w:after="60"/>
            </w:pPr>
            <w:r>
              <w:rPr>
                <w:rFonts w:ascii="Arial" w:hAnsi="Arial"/>
                <w:b/>
                <w:sz w:val="17"/>
              </w:rPr>
              <w:t>Sector Average</w:t>
            </w:r>
          </w:p>
        </w:tc>
        <w:tc>
          <w:tcPr>
            <w:tcW w:type="dxa" w:w="7200"/>
          </w:tcPr>
          <w:p>
            <w:pPr>
              <w:spacing w:before="60" w:after="60"/>
            </w:pPr>
            <w:r>
              <w:rPr>
                <w:rFonts w:ascii="Arial" w:hAnsi="Arial"/>
                <w:sz w:val="17"/>
              </w:rPr>
              <w:t>Vagueness: 0.5066  |  P25: 0.4199  |  P75: 0.5957  (185 companies)</w:t>
            </w:r>
          </w:p>
        </w:tc>
      </w:tr>
      <w:tr>
        <w:tc>
          <w:tcPr>
            <w:tcW w:type="dxa" w:w="2880"/>
            <w:shd w:val="clear" w:color="auto" w:fill="EBF3FB"/>
          </w:tcPr>
          <w:p>
            <w:pPr>
              <w:spacing w:before="60" w:after="60"/>
            </w:pPr>
            <w:r>
              <w:rPr>
                <w:rFonts w:ascii="Arial" w:hAnsi="Arial"/>
                <w:b/>
                <w:sz w:val="17"/>
              </w:rPr>
              <w:t>Model Performance</w:t>
            </w:r>
          </w:p>
        </w:tc>
        <w:tc>
          <w:tcPr>
            <w:tcW w:type="dxa" w:w="7200"/>
          </w:tcPr>
          <w:p>
            <w:pPr>
              <w:spacing w:before="60" w:after="60"/>
            </w:pPr>
            <w:r>
              <w:rPr>
                <w:rFonts w:ascii="Arial" w:hAnsi="Arial"/>
                <w:sz w:val="17"/>
              </w:rPr>
              <w:t>Vagueness F1: 0.876  |  Complexity F1: 0.826</w:t>
            </w:r>
          </w:p>
        </w:tc>
      </w:tr>
    </w:tbl>
    <w:p>
      <w:pPr>
        <w:spacing w:after="80"/>
      </w:pPr>
    </w:p>
    <w:p>
      <w:pPr>
        <w:spacing w:before="280" w:after="80"/>
      </w:pPr>
      <w:r>
        <w:rPr>
          <w:rFonts w:ascii="Arial" w:hAnsi="Arial"/>
          <w:b/>
          <w:color w:val="1F3D6B"/>
          <w:sz w:val="20"/>
        </w:rPr>
        <w:t>1. EXECUTIVE SUMMARY</w:t>
      </w:r>
    </w:p>
    <w:p>
      <w:pPr>
        <w:spacing w:before="80" w:after="80"/>
        <w:pBdr>
          <w:bottom w:val="single" w:sz="8" w:space="1" w:color="2E75B6"/>
        </w:pBdr>
      </w:pPr>
    </w:p>
    <w:p>
      <w:pPr>
        <w:spacing w:after="120" w:before="40"/>
      </w:pPr>
      <w:r>
        <w:rPr>
          <w:rFonts w:ascii="Arial" w:hAnsi="Arial"/>
          <w:i w:val="0"/>
          <w:color w:val="000000"/>
          <w:sz w:val="18"/>
        </w:rPr>
        <w:t>Flowserve Corporation (FLS) presents a divergent disclosure risk signal: Claude Analysis rates the concern MEDIUM based on specific, material omissions in the Q2 2025 10-Q, while FinBERT flags the company HIGH, ranking it well above the sector mean in vagueness (+0.21 above the 185-company average). The divergence likely reflects FLS's structurally elevated vagueness in quarterly filings versus annual filings, compounded by genuine content removals identified in Q2. We recommend heightened monitoring of FLS as a supply chain counterparty, with immediate verification of the apparent internal controls disclosure gap.</w:t>
      </w:r>
    </w:p>
    <w:p>
      <w:pPr>
        <w:spacing w:before="280" w:after="80"/>
      </w:pPr>
      <w:r>
        <w:rPr>
          <w:rFonts w:ascii="Arial" w:hAnsi="Arial"/>
          <w:b/>
          <w:color w:val="1F3D6B"/>
          <w:sz w:val="20"/>
        </w:rPr>
        <w:t>2. DISCLOSURE QUALITY ASSESSMENT</w:t>
      </w:r>
    </w:p>
    <w:p>
      <w:pPr>
        <w:spacing w:before="80" w:after="80"/>
        <w:pBdr>
          <w:bottom w:val="single" w:sz="8" w:space="1" w:color="2E75B6"/>
        </w:pBdr>
      </w:pPr>
    </w:p>
    <w:p>
      <w:pPr>
        <w:spacing w:after="120" w:before="40"/>
      </w:pPr>
      <w:r>
        <w:rPr>
          <w:rFonts w:ascii="Arial" w:hAnsi="Arial"/>
          <w:i w:val="0"/>
          <w:color w:val="000000"/>
          <w:sz w:val="18"/>
        </w:rPr>
        <w:t>FLS's FinBERT vagueness score of 0.719 in its latest 10-Q sits far above the sector mean of 0.507 and well beyond the 75th percentile of 0.596, placing it among the least transparent filers in the industrial sector. Notably, FLS exhibits a persistent bifurcation: 10-K filings score ~0.54 while 10-Qs consistently score ~0.72, suggesting quarterly filings rely on substantially more generic language. The latest quarter-over-quarter trend is flat, indicating the elevated vagueness is structural rather than deteriorating incrementally.</w:t>
      </w:r>
    </w:p>
    <w:p>
      <w:pPr>
        <w:spacing w:before="280" w:after="80"/>
      </w:pPr>
      <w:r>
        <w:rPr>
          <w:rFonts w:ascii="Arial" w:hAnsi="Arial"/>
          <w:b/>
          <w:color w:val="1F3D6B"/>
          <w:sz w:val="20"/>
        </w:rPr>
        <w:t>3. KEY FINDINGS &amp; EVIDENCE</w:t>
      </w:r>
    </w:p>
    <w:p>
      <w:pPr>
        <w:spacing w:before="80" w:after="80"/>
        <w:pBdr>
          <w:bottom w:val="single" w:sz="8" w:space="1" w:color="2E75B6"/>
        </w:pBdr>
      </w:pPr>
    </w:p>
    <w:p>
      <w:pPr>
        <w:spacing w:after="120" w:before="40"/>
      </w:pPr>
      <w:r>
        <w:rPr>
          <w:rFonts w:ascii="Arial" w:hAnsi="Arial"/>
          <w:i w:val="0"/>
          <w:color w:val="000000"/>
          <w:sz w:val="18"/>
        </w:rPr>
        <w:t>The most actionable finding is the apparent omission of the CEO/CFO effectiveness conclusion on disclosure controls and the changes-in-ICFR statement from the Q2 2025 10-Q (see 10-Q filed 2025-07-30, p.52). These are SEC-mandated disclosures under Item 4 of Form 10-Q; their absence—if confirmed as genuine rather than a parsing artifact—constitutes a potential filing deficiency and could indicate internal control complications at a critical supply chain partner. This warrants immediate verification against the EDGAR filing.</w:t>
      </w:r>
    </w:p>
    <w:p>
      <w:pPr>
        <w:spacing w:after="120" w:before="40"/>
      </w:pPr>
      <w:r>
        <w:rPr>
          <w:rFonts w:ascii="Arial" w:hAnsi="Arial"/>
          <w:i w:val="0"/>
          <w:color w:val="000000"/>
          <w:sz w:val="18"/>
        </w:rPr>
        <w:t>Additionally, FLS stripped the enumeration of five critical accounting policies and management's fair presentation assertion from MD&amp;A, replacing specific policy discussion with boilerplate language about estimates changing materially (see 10-Q filed 2025-07-30, p.49). The company also removed quantitative foreign currency disclosure—previously reporting an $11.4 million FX loss in Q1—without apparent replacement (see 10-Q filed 2025-07-30, p.51). For a company with significant emerging-market exposure including hyperinflationary currencies, this obscures a potentially material cost headwind relevant to supply chain pricing stability.</w:t>
      </w:r>
    </w:p>
    <w:p>
      <w:pPr>
        <w:spacing w:before="280" w:after="80"/>
      </w:pPr>
      <w:r>
        <w:rPr>
          <w:rFonts w:ascii="Arial" w:hAnsi="Arial"/>
          <w:b/>
          <w:color w:val="1F3D6B"/>
          <w:sz w:val="20"/>
        </w:rPr>
        <w:t>4. PEER COMPARISON</w:t>
      </w:r>
    </w:p>
    <w:p>
      <w:pPr>
        <w:spacing w:before="80" w:after="80"/>
        <w:pBdr>
          <w:bottom w:val="single" w:sz="8" w:space="1" w:color="2E75B6"/>
        </w:pBdr>
      </w:pPr>
    </w:p>
    <w:p>
      <w:pPr>
        <w:spacing w:after="120" w:before="40"/>
      </w:pPr>
      <w:r>
        <w:rPr>
          <w:rFonts w:ascii="Arial" w:hAnsi="Arial"/>
          <w:i w:val="0"/>
          <w:color w:val="000000"/>
          <w:sz w:val="18"/>
        </w:rPr>
        <w:t>Against industrial peers such as ITT and IDEX, FLS's regulatory and legal contingency disclosure is notably thin, particularly regarding the OBBBA tax legislation where FLS offers only a single deferral sentence (see 10-Q filed 2025-07-30, p.37). Peers provide substantially more detail on Pillar Two impacts, litigation contingencies, and environmental liabilities. The peer set is limited to available sector comparables, which may not perfectly match FLS's specific end-market exposures.</w:t>
      </w:r>
    </w:p>
    <w:p>
      <w:pPr>
        <w:spacing w:before="280" w:after="80"/>
      </w:pPr>
      <w:r>
        <w:rPr>
          <w:rFonts w:ascii="Arial" w:hAnsi="Arial"/>
          <w:b/>
          <w:color w:val="1F3D6B"/>
          <w:sz w:val="20"/>
        </w:rPr>
        <w:t>5. RECOMMENDED ANALYST ACTIONS</w:t>
      </w:r>
    </w:p>
    <w:p>
      <w:pPr>
        <w:spacing w:before="80" w:after="80"/>
        <w:pBdr>
          <w:bottom w:val="single" w:sz="8" w:space="1" w:color="2E75B6"/>
        </w:pBdr>
      </w:pPr>
    </w:p>
    <w:p>
      <w:pPr>
        <w:spacing w:after="120" w:before="40"/>
      </w:pPr>
      <w:r>
        <w:rPr>
          <w:rFonts w:ascii="Arial" w:hAnsi="Arial"/>
          <w:i w:val="0"/>
          <w:color w:val="000000"/>
          <w:sz w:val="18"/>
        </w:rPr>
        <w:t>First, pull the complete Q2 2025 10-Q from EDGAR to verify whether the effectiveness conclusion and changes-in-ICFR statement appear elsewhere in the filing; if genuinely absent, escalate this as a potential filing deficiency to the portfolio risk team. Second, contact FLS investor relations to obtain the omitted FX gain/loss figures for Q2 and clarify the rationale for removing critical accounting policy disclosures. Third, incorporate FLS's elevated FinBERT vagueness percentile into counterparty risk scoring for any portfolio companies dependent on FLS equipment or aftermarket services.</w:t>
      </w:r>
    </w:p>
    <w:p>
      <w:pPr>
        <w:spacing w:before="80" w:after="80"/>
        <w:pBdr>
          <w:bottom w:val="single" w:sz="4" w:space="1" w:color="CCCCCC"/>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FinBERT classifiers</w:t>
            </w:r>
          </w:p>
        </w:tc>
        <w:tc>
          <w:tcPr>
            <w:tcW w:type="dxa" w:w="7200"/>
          </w:tcPr>
          <w:p>
            <w:pPr>
              <w:spacing w:before="60" w:after="60"/>
            </w:pPr>
            <w:r>
              <w:rPr>
                <w:rFonts w:ascii="Arial" w:hAnsi="Arial"/>
                <w:sz w:val="17"/>
              </w:rPr>
              <w:t>Vagueness (F1 0.876) + Complexity (F1 0.826)</w:t>
            </w:r>
          </w:p>
        </w:tc>
      </w:tr>
      <w:tr>
        <w:tc>
          <w:tcPr>
            <w:tcW w:type="dxa" w:w="2880"/>
            <w:shd w:val="clear" w:color="auto" w:fill="EBF3FB"/>
          </w:tcPr>
          <w:p>
            <w:pPr>
              <w:spacing w:before="60" w:after="60"/>
            </w:pPr>
            <w:r>
              <w:rPr>
                <w:rFonts w:ascii="Arial" w:hAnsi="Arial"/>
                <w:b/>
                <w:sz w:val="17"/>
              </w:rPr>
              <w:t>Screening</w:t>
            </w:r>
          </w:p>
        </w:tc>
        <w:tc>
          <w:tcPr>
            <w:tcW w:type="dxa" w:w="7200"/>
          </w:tcPr>
          <w:p>
            <w:pPr>
              <w:spacing w:before="60" w:after="60"/>
            </w:pPr>
            <w:r>
              <w:rPr>
                <w:rFonts w:ascii="Arial" w:hAnsi="Arial"/>
                <w:sz w:val="17"/>
              </w:rPr>
              <w:t>GPT-4o-mini | Deep analysis: Claude Opus 4.6</w:t>
            </w:r>
          </w:p>
        </w:tc>
      </w:tr>
      <w:tr>
        <w:tc>
          <w:tcPr>
            <w:tcW w:type="dxa" w:w="2880"/>
            <w:shd w:val="clear" w:color="auto" w:fill="EBF3FB"/>
          </w:tcPr>
          <w:p>
            <w:pPr>
              <w:spacing w:before="60" w:after="60"/>
            </w:pPr>
            <w:r>
              <w:rPr>
                <w:rFonts w:ascii="Arial" w:hAnsi="Arial"/>
                <w:b/>
                <w:sz w:val="17"/>
              </w:rPr>
              <w:t>Data source</w:t>
            </w:r>
          </w:p>
        </w:tc>
        <w:tc>
          <w:tcPr>
            <w:tcW w:type="dxa" w:w="7200"/>
          </w:tcPr>
          <w:p>
            <w:pPr>
              <w:spacing w:before="60" w:after="60"/>
            </w:pPr>
            <w:r>
              <w:rPr>
                <w:rFonts w:ascii="Arial" w:hAnsi="Arial"/>
                <w:sz w:val="17"/>
              </w:rPr>
              <w:t>SEC EDGAR (10-K, 10-Q) | Graph: Neo4j</w:t>
            </w:r>
          </w:p>
        </w:tc>
      </w:tr>
    </w:tbl>
    <w:p>
      <w:pPr>
        <w:spacing w:after="80"/>
      </w:pPr>
    </w:p>
    <w:p>
      <w:pPr>
        <w:spacing w:before="80"/>
      </w:pPr>
      <w:r>
        <w:rPr>
          <w:rFonts w:ascii="Arial" w:hAnsi="Arial"/>
          <w:i/>
          <w:color w:val="606060"/>
          <w:sz w:val="14"/>
        </w:rPr>
        <w:t>IMPORTANT NOTICE: This is an automated screening output from the Disclosure Degradation Detection System (DDDS). It does not constitute investment advice. All findings are probabilistic signals requiring independent verification. Consistent with CFA Institute Standard V(A) — Diligence and Reasonable Basis.</w:t>
      </w:r>
    </w:p>
    <w:p>
      <w:r>
        <w:rPr>
          <w:rFonts w:ascii="Arial" w:hAnsi="Arial"/>
          <w:color w:val="606060"/>
          <w:sz w:val="14"/>
        </w:rPr>
        <w:t>Generated: 09 April 2026 15:45  |  DDDS v1.0 — The Transparency Project</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