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FTNT</w:t>
      </w:r>
    </w:p>
    <w:p>
      <w:pPr>
        <w:spacing w:after="40"/>
      </w:pPr>
      <w:r>
        <w:rPr>
          <w:rFonts w:ascii="Arial" w:hAnsi="Arial"/>
          <w:b/>
          <w:color w:val="1F3D6B"/>
          <w:sz w:val="20"/>
        </w:rPr>
        <w:t xml:space="preserve">CLAUDE ANALYSIS: </w:t>
      </w:r>
      <w:r>
        <w:rPr>
          <w:rFonts w:ascii="Arial" w:hAnsi="Arial"/>
          <w:b/>
          <w:color w:val="388638"/>
          <w:sz w:val="20"/>
        </w:rPr>
        <w:t>LOW</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388638"/>
          <w:sz w:val="20"/>
        </w:rPr>
        <w:t>LOW</w:t>
      </w:r>
    </w:p>
    <w:p>
      <w:pPr>
        <w:spacing w:after="80"/>
      </w:pPr>
      <w:r>
        <w:rPr>
          <w:rFonts w:ascii="Arial" w:hAnsi="Arial"/>
          <w:color w:val="606060"/>
          <w:sz w:val="17"/>
        </w:rPr>
        <w:t>Generated: 09 April 2026  |  Genuine: 1  |  Borderline: 1  |  Dismissed: 7</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2025-08-08)</w:t>
            </w:r>
          </w:p>
        </w:tc>
        <w:tc>
          <w:tcPr>
            <w:tcW w:type="dxa" w:w="7200"/>
          </w:tcPr>
          <w:p>
            <w:pPr>
              <w:spacing w:before="60" w:after="60"/>
            </w:pPr>
            <w:r>
              <w:rPr>
                <w:rFonts w:ascii="Arial" w:hAnsi="Arial"/>
                <w:sz w:val="17"/>
              </w:rPr>
              <w:t>Vagueness: 0.3051  |  Complexity: 0.1745</w:t>
            </w:r>
          </w:p>
        </w:tc>
      </w:tr>
      <w:tr>
        <w:tc>
          <w:tcPr>
            <w:tcW w:type="dxa" w:w="2880"/>
            <w:shd w:val="clear" w:color="auto" w:fill="EBF3FB"/>
          </w:tcPr>
          <w:p>
            <w:pPr>
              <w:spacing w:before="60" w:after="60"/>
            </w:pPr>
            <w:r>
              <w:rPr>
                <w:rFonts w:ascii="Arial" w:hAnsi="Arial"/>
                <w:b/>
                <w:sz w:val="17"/>
              </w:rPr>
              <w:t>Prior (10-Q 2025-05-08)</w:t>
            </w:r>
          </w:p>
        </w:tc>
        <w:tc>
          <w:tcPr>
            <w:tcW w:type="dxa" w:w="7200"/>
          </w:tcPr>
          <w:p>
            <w:pPr>
              <w:spacing w:before="60" w:after="60"/>
            </w:pPr>
            <w:r>
              <w:rPr>
                <w:rFonts w:ascii="Arial" w:hAnsi="Arial"/>
                <w:sz w:val="17"/>
              </w:rPr>
              <w:t>Vagueness: 0.3101  |  Complexity: 0.1847</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-0.0050  |  Complexity: -0.0102</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Fortinet, Inc. (FTNT) presents minimal supply chain disclosure risk. Both the Claude Analysis signal and FinBERT statistical signal register LOW, indicating converging agreement that FTNT's filing transparency remains strong relative to cybersecurity/technology sector peers. One genuine finding—removal of proprietary ASIC product architecture detail from the 10-Q MD&amp;A—merits monitoring but does not yet constitute a material transparency deterioration. Recommended action is routine monitoring with attention to whether the upcoming 10-K annual filing restores product-level specificity.</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FTNT's latest 10-Q vagueness score of 0.3051 sits well below the sector mean of 0.5066, placing it approximately 20 percentage points more transparent than the average peer across 185 companies. The trend is stable to slightly improving, with vagueness declining 50 basis points and complexity declining 102 basis points sequentially. Annual 10-K filings naturally score higher on vagueness (~0.59–0.61), consistent with broader risk factor language, but remain within normal bounds.</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sole genuine flag involves the removal of detailed product architecture disclosures from the MD&amp;A section. Prior filings described FTNT's proprietary ASIC technology, FortiOS operating system supporting "over 30 functions," and a framework of "50+ products across three solution pillars" including Secure Networking and OT Security. The current filing compresses this to brief mentions of FortiCare Elite response times and hosting arrangements . This reduction could reflect a strategic de-emphasis of hardware differentiation as FTNT pivots toward platform and services revenue, or it may simply reflect 10-Q brevity with full detail reserved for the annual 10-K.</w:t>
      </w:r>
    </w:p>
    <w:p>
      <w:pPr>
        <w:spacing w:after="120" w:before="40"/>
      </w:pPr>
      <w:r>
        <w:rPr>
          <w:rFonts w:ascii="Arial" w:hAnsi="Arial"/>
          <w:i w:val="0"/>
          <w:color w:val="000000"/>
          <w:sz w:val="18"/>
        </w:rPr>
        <w:t>A borderline flag concerns the disappearance of the single-distributor accounts receivable concentration figure, previously disclosed at 28%, while the aggregate six-distributor figure (63–64%) was retained . This is a modest reduction in quantitative granularity that could obscure changes in channel concentration dynamics. Notably, seven additional flags were dismissed as artifacts of poor peer matching against Xerox and Logitech, which operate fundamentally different business models.</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FTNT's vagueness score positions it in approximately the bottom quartile of the 185-company sector universe, meaning its filings are among the most specific and least vague. Peer comparison flags were dismissed due to matching against XRX and LOGI, companies with materially different business models; this is a known limitation of the current peer selection methodology.</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should review FTNT's upcoming February 2026 10-K to determine whether ASIC product architecture and competitive differentiator language is restored, which would confirm the 10-Q omission was routine rather than strategic. Second, during the next earnings call or IR engagement, analysts should directly request updated single-distributor AR concentration data to verify that the removal of the 28% figure does not mask worsening channel dependency. No escalation in monitoring cadence is warranted at this time.</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15:46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