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GENC</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3  |  Borderline: 4  |  Dismissed: 9</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2025-08-08)</w:t>
            </w:r>
          </w:p>
        </w:tc>
        <w:tc>
          <w:tcPr>
            <w:tcW w:type="dxa" w:w="7200"/>
          </w:tcPr>
          <w:p>
            <w:pPr>
              <w:spacing w:before="60" w:after="60"/>
            </w:pPr>
            <w:r>
              <w:rPr>
                <w:rFonts w:ascii="Arial" w:hAnsi="Arial"/>
                <w:sz w:val="17"/>
              </w:rPr>
              <w:t>Vagueness: 0.5753  |  Complexity: 0.0752</w:t>
            </w:r>
          </w:p>
        </w:tc>
      </w:tr>
      <w:tr>
        <w:tc>
          <w:tcPr>
            <w:tcW w:type="dxa" w:w="2880"/>
            <w:shd w:val="clear" w:color="auto" w:fill="EBF3FB"/>
          </w:tcPr>
          <w:p>
            <w:pPr>
              <w:spacing w:before="60" w:after="60"/>
            </w:pPr>
            <w:r>
              <w:rPr>
                <w:rFonts w:ascii="Arial" w:hAnsi="Arial"/>
                <w:b/>
                <w:sz w:val="17"/>
              </w:rPr>
              <w:t>Prior (10-Q 2025-07-25)</w:t>
            </w:r>
          </w:p>
        </w:tc>
        <w:tc>
          <w:tcPr>
            <w:tcW w:type="dxa" w:w="7200"/>
          </w:tcPr>
          <w:p>
            <w:pPr>
              <w:spacing w:before="60" w:after="60"/>
            </w:pPr>
            <w:r>
              <w:rPr>
                <w:rFonts w:ascii="Arial" w:hAnsi="Arial"/>
                <w:sz w:val="17"/>
              </w:rPr>
              <w:t>Vagueness: 0.5841  |  Complexity: 0.0789</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-0.0088  |  Complexity: -0.0037</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GENC presents a MEDIUM supply chain transparency risk based on converging Claude Analysis (MEDIUM) and FinBERT (MEDIUM) signals. The most material concern is the complete removal of NYSE American listing compliance disclosures despite an active August 19, 2025 compliance deadline, coupled with the omission of declining backlog figures that had fallen from $61.3M to $27.8M over four quarters. These disclosure gaps obscure both listing risk and demand trajectory for downstream buyers. Recommend enhanced monitoring and direct management engagement on compliance status and backlog trends.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GENC's latest filing vagueness score of 0.5753 sits above the sector mean of 0.5066 (+0.0687), placing it between the 50th and 75th percentile among 185 industrial peers. While the most recent filing showed marginal improvement versus the prior quarter (vagueness declined 0.0088), the broader trend is concerning: vagueness rose sharply from 0.3957–0.4040 in annual filings to 0.5753–0.5841 in quarterly filings, suggesting a structural decline in specificity as the company transitioned from 10-K to 10-Q disclosures.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significant finding is the complete disappearance of NYSE American listing compliance disclosures from the August 8, 2025 10-Q. Prior filings detailed the company's filing delinquencies, a June 10 extension request, and an August 19 compliance deadline (see 10-Q filed 2025-07-25, p.3). The August filing—issued just 11 days before that deadline—contains no compliance status update whatsoever (see 10-K filed 2025-06-27, p.4). For supply chain counterparties, listing risk is a direct indicator of financial stability and operational continuity.</w:t>
      </w:r>
    </w:p>
    <w:p>
      <w:pPr>
        <w:spacing w:after="120" w:before="40"/>
      </w:pPr>
      <w:r>
        <w:rPr>
          <w:rFonts w:ascii="Arial" w:hAnsi="Arial"/>
          <w:i w:val="0"/>
          <w:color w:val="000000"/>
          <w:sz w:val="18"/>
        </w:rPr>
        <w:t>Equally concerning is the removal of specific backlog figures that had been declining sharply—from $61.3M to $54.4M to $50.4M to $27.8M across four consecutive quarters—along with the omission of effective tax rates, unrecognized tax benefit dollar amounts, and revenue disaggregation tables previously required under ASC 606 (see 10-Q filed 2025-08-08, p.7). The company also dropped its prior affirmative statement that operations had "not been significantly impacted" by geopolitical disruptions, and removed specific references to tariff exposure , potentially signaling deteriorating supply chain conditions that management no longer wishes to characterize.</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Relative to industrial peers such as Columbus McKinnon (CMCO), GENC's disclosure is notably sparse. CMCO provides detailed legal contingencies, product liability reserves, and environmental remediation costs, while GENC's filings contain no litigation or contingency discussion—unusual for an industrial equipment manufacturer. Peer selection is limited by the available universe and may not perfectly match GENC's niche, which is a known limitation of this comparison.</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directly contact GENC investor relations to confirm whether NYSE American compliance was fully restored by the August 19 deadline; any remaining listing risk is material to counterparty assessments. Second, request current backlog figures and revenue disaggregation data to assess demand trajectory, given the 55% backlog decline over four quarters is a leading indicator of throughput and delivery capacity. Third, evaluate tariff exposure by cross-referencing GENC's supplier geography with current U.S. tariff schedules, as the removal of specific tariff risk language may reflect active rather than diminished exposure.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15:27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