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GFF</w:t>
      </w:r>
    </w:p>
    <w:p>
      <w:pPr>
        <w:spacing w:after="40"/>
      </w:pPr>
      <w:r>
        <w:rPr>
          <w:rFonts w:ascii="Arial" w:hAnsi="Arial"/>
          <w:b/>
          <w:color w:val="1F3D6B"/>
          <w:sz w:val="20"/>
        </w:rPr>
        <w:t xml:space="preserve">CLAUDE ANALYSIS: </w:t>
      </w:r>
      <w:r>
        <w:rPr>
          <w:rFonts w:ascii="Arial" w:hAnsi="Arial"/>
          <w:b/>
          <w:color w:val="C00000"/>
          <w:sz w:val="20"/>
        </w:rPr>
        <w:t>HIGH</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6  |  Borderline: 2  |  Dismissed: 5</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2025-08-06)</w:t>
            </w:r>
          </w:p>
        </w:tc>
        <w:tc>
          <w:tcPr>
            <w:tcW w:type="dxa" w:w="7200"/>
          </w:tcPr>
          <w:p>
            <w:pPr>
              <w:spacing w:before="60" w:after="60"/>
            </w:pPr>
            <w:r>
              <w:rPr>
                <w:rFonts w:ascii="Arial" w:hAnsi="Arial"/>
                <w:sz w:val="17"/>
              </w:rPr>
              <w:t>Vagueness: 0.2379  |  Complexity: 0.1571</w:t>
            </w:r>
          </w:p>
        </w:tc>
      </w:tr>
      <w:tr>
        <w:tc>
          <w:tcPr>
            <w:tcW w:type="dxa" w:w="2880"/>
            <w:shd w:val="clear" w:color="auto" w:fill="EBF3FB"/>
          </w:tcPr>
          <w:p>
            <w:pPr>
              <w:spacing w:before="60" w:after="60"/>
            </w:pPr>
            <w:r>
              <w:rPr>
                <w:rFonts w:ascii="Arial" w:hAnsi="Arial"/>
                <w:b/>
                <w:sz w:val="17"/>
              </w:rPr>
              <w:t>Prior (10-Q 2025-05-08)</w:t>
            </w:r>
          </w:p>
        </w:tc>
        <w:tc>
          <w:tcPr>
            <w:tcW w:type="dxa" w:w="7200"/>
          </w:tcPr>
          <w:p>
            <w:pPr>
              <w:spacing w:before="60" w:after="60"/>
            </w:pPr>
            <w:r>
              <w:rPr>
                <w:rFonts w:ascii="Arial" w:hAnsi="Arial"/>
                <w:sz w:val="17"/>
              </w:rPr>
              <w:t>Vagueness: 0.2405  |  Complexity: 0.1624</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-0.0026  |  Complexity: -0.0053</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Griffon Corporation presents a notable signal divergence: Claude Analysis flags HIGH disclosure degradation driven by wholesale removal of tariff, China-sourcing, and supply chain risk language precisely when a $243.6M Hunter Fan impairment confirms these risks are materializing. FinBERT ranks GFF LOW on sector-relative vagueness, reflecting the company's below-mean vagueness scores. The divergence likely stems from GFF's use of terse cross-references rather than vague language—brevity scores well on vagueness metrics but masks substantive content removal. Recommend elevated monitoring and direct engagement with management on supply chain transparency.</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GFF's latest 10-Q vagueness score of 0.2379 sits 0.27 standard deviations below the sector mean of 0.5066, placing it well below the 25th percentile. The downward vagueness trend across five filings is mechanically consistent with the shift from detailed 10-K prose to short-form 10-Q filings. Critically, low vagueness does not equate to adequate disclosure; GFF achieves low scores partly by replacing multi-paragraph risk discussions with single-sentence cross-references, which are precise in wording but hollow in substance.</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near-total removal of supply chain and tariff risk disclosures from the current 10-Q. The prior filing contained granular detail—including 4,200+ CBP-detained shipments valued at $1.7 billion and CPP's specific China revenue exposure—replaced by a one-sentence cross-reference to earlier filings (see 10-Q filed 2025-08-06, p.46). This is particularly alarming given the same filing reports a $243.6M goodwill and intangible asset impairment at Hunter Fan explicitly attributed to tariff disruption of customer ordering patterns, yet the prior quarter's explicit warning that China-sourcing represents "a continuing risk to CPP revenue and operating performance" was removed .</w:t>
      </w:r>
    </w:p>
    <w:p>
      <w:pPr>
        <w:spacing w:after="120" w:before="40"/>
      </w:pPr>
      <w:r>
        <w:rPr>
          <w:rFonts w:ascii="Arial" w:hAnsi="Arial"/>
          <w:i w:val="0"/>
          <w:color w:val="000000"/>
          <w:sz w:val="18"/>
        </w:rPr>
        <w:t>The geopolitical risk section underwent similar evisceration: detailed discussion of Section 301 tariffs, the 90-day tariff pause, USMCA review timelines, and $425 billion in quantified U.S.-China trade exposure was replaced with four generic foreign exchange sensitivity sentences . Additionally, specific stock-based compensation figures disclosed in prior quarters were omitted from the current MD&amp;A without explanation , consistent with a broader pattern of quantitative detail being stripped across multiple disclosure categories during a period of acute operational stress.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GFF's supply chain disclosure now falls materially below peer JBI, which—despite sourcing most raw materials domestically and having lower international exposure—provides more substantive discussion of supply chain vulnerability assessment and tariff mitigation strategies. The peer comparison is directionally informative, though the limited peer set (single comparator) is a known limitation of the current analysis framework.</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review GFF's referenced FY2024 10-K and Q2 FY2025 10-Q risk factors side-by-side against the current filing to map exactly which disclosures were removed versus cross-referenced, assessing legal sufficiency. Second, engage GFF investor relations directly to request current CPP China-sourcing revenue concentration, UFLPA detention status, and stock-based compensation expense for the quarter. Third, stress-test portfolio exposure to GFF's supply chain by modeling scenarios where tariff-driven impairments extend beyond Hunter Fan to broader CPP operations.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15:46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