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GTEC</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1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2025-08-13)</w:t>
            </w:r>
          </w:p>
        </w:tc>
        <w:tc>
          <w:tcPr>
            <w:tcW w:type="dxa" w:w="7200"/>
          </w:tcPr>
          <w:p>
            <w:pPr>
              <w:spacing w:before="60" w:after="60"/>
            </w:pPr>
            <w:r>
              <w:rPr>
                <w:rFonts w:ascii="Arial" w:hAnsi="Arial"/>
                <w:sz w:val="17"/>
              </w:rPr>
              <w:t>Vagueness: 0.4322  |  Complexity: 0.1858</w:t>
            </w:r>
          </w:p>
        </w:tc>
      </w:tr>
      <w:tr>
        <w:tc>
          <w:tcPr>
            <w:tcW w:type="dxa" w:w="2880"/>
            <w:shd w:val="clear" w:color="auto" w:fill="EBF3FB"/>
          </w:tcPr>
          <w:p>
            <w:pPr>
              <w:spacing w:before="60" w:after="60"/>
            </w:pPr>
            <w:r>
              <w:rPr>
                <w:rFonts w:ascii="Arial" w:hAnsi="Arial"/>
                <w:b/>
                <w:sz w:val="17"/>
              </w:rPr>
              <w:t>Prior (10-Q 2025-05-15)</w:t>
            </w:r>
          </w:p>
        </w:tc>
        <w:tc>
          <w:tcPr>
            <w:tcW w:type="dxa" w:w="7200"/>
          </w:tcPr>
          <w:p>
            <w:pPr>
              <w:spacing w:before="60" w:after="60"/>
            </w:pPr>
            <w:r>
              <w:rPr>
                <w:rFonts w:ascii="Arial" w:hAnsi="Arial"/>
                <w:sz w:val="17"/>
              </w:rPr>
              <w:t>Vagueness: 0.4507  |  Complexity: 0.1823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-0.0185  |  Complexity: +0.0035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GTEC presents a modest but divergent disclosure risk signal for downstream supply chain monitoring. Claude Analysis flags LOW concern, identifying only one genuine finding (removal of specific litigation details) and one borderline gap (absent single-facility concentration risk disclosure). FinBERT ranks GTEC at MEDIUM relative to sector peers, with vagueness below the sector mean but elevated within the interquartile range for annual filings. Given the divergence, we recommend targeted due diligence on the removed litigation disclosures and single-site manufacturing dependency rather than immediate escalation.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GTEC's latest 10-Q vagueness score of 0.4322 sits below the sector mean of 0.5066, placing the company in roughly the lower quartile of the 185-company universe — a favorable position. However, annual filings (10-K vagueness of 0.5842) trend near the 75th percentile, suggesting periodic disclosure dilution in comprehensive reports. The latest quarter-over-quarter improvement of -0.0185 in vagueness is marginal. The FinBERT MEDIUM signal reflects this bifurcation between quarterly and annual filing quality rather than a clear deterioration trend.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complete removal of specific shareholder derivative action details from GTEC's risk factor disclosures. The prior filing disclosed a $38,060,365 damages claim with named defendants and a court dismissal ruling dated February 28, 2025; the current filing replaces this with generalized regulatory compliance language (see 10-Q filed 2025-08-13, p.43). Because the case was dismissed without prejudice, it remains a live contingent liability, and the removal of specific dollar amounts and procedural history represents a clear degradation in disclosure specificity. Additionally, several paragraphs addressing PRC government control over the steel sector, specific withholding tax rates, and cybersecurity review measures were trimmed from the risk factors.</w:t>
      </w:r>
    </w:p>
    <w:p>
      <w:pPr>
        <w:spacing w:after="120" w:before="40"/>
      </w:pPr>
      <w:r>
        <w:rPr>
          <w:rFonts w:ascii="Arial" w:hAnsi="Arial"/>
          <w:i w:val="0"/>
          <w:color w:val="000000"/>
          <w:sz w:val="18"/>
        </w:rPr>
        <w:t>The borderline finding concerns GTEC's acknowledged reliance on a single manufacturing facility in Xinchang, Zhejiang Province for all transmission products , paired with the absence of any discussion of single-facility concentration risk, disaster contingency planning, or tariff exposure. For a company with 100% of core manufacturing in one PRC location, the omission of supply chain vulnerability disclosure is a meaningful gap for downstream purchasers assessing continuity risk.</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GTEC's quarterly vagueness scores compare favorably to the sector median, though its annual 10-K filings cluster near the 75th percentile. The peer used for supply chain comparison (GHM) explicitly discloses sole-source positions and global supply chain dependencies , highlighting GTEC's relative reticence on concentration risk. A known limitation is the narrow peer set, which may not fully capture industry-specific disclosure norms for PRC-domiciled manufacturers.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confirm the current status of the shareholder derivative action dismissed without prejudice — check PACER for any refiling or settlement activity, as removal of the $38M disclosure may signal developments not yet reported. Second, directly assess GTEC's business continuity posture for the Xinchang facility by reviewing insurance filings and any available export control or tariff exposure data for PRC-origin transmission and EV components. Third, monitor the next 10-K filing for whether PRC regulatory risk language is restored or further diluted.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