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GTES</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3  |  Borderline: 3  |  Dismissed: 0</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2025-07-30)</w:t>
            </w:r>
          </w:p>
        </w:tc>
        <w:tc>
          <w:tcPr>
            <w:tcW w:type="dxa" w:w="7200"/>
          </w:tcPr>
          <w:p>
            <w:pPr>
              <w:spacing w:before="60" w:after="60"/>
            </w:pPr>
            <w:r>
              <w:rPr>
                <w:rFonts w:ascii="Arial" w:hAnsi="Arial"/>
                <w:sz w:val="17"/>
              </w:rPr>
              <w:t>Vagueness: 0.2587  |  Complexity: 0.2597</w:t>
            </w:r>
          </w:p>
        </w:tc>
      </w:tr>
      <w:tr>
        <w:tc>
          <w:tcPr>
            <w:tcW w:type="dxa" w:w="2880"/>
            <w:shd w:val="clear" w:color="auto" w:fill="EBF3FB"/>
          </w:tcPr>
          <w:p>
            <w:pPr>
              <w:spacing w:before="60" w:after="60"/>
            </w:pPr>
            <w:r>
              <w:rPr>
                <w:rFonts w:ascii="Arial" w:hAnsi="Arial"/>
                <w:b/>
                <w:sz w:val="17"/>
              </w:rPr>
              <w:t>Prior (10-Q 2025-04-30)</w:t>
            </w:r>
          </w:p>
        </w:tc>
        <w:tc>
          <w:tcPr>
            <w:tcW w:type="dxa" w:w="7200"/>
          </w:tcPr>
          <w:p>
            <w:pPr>
              <w:spacing w:before="60" w:after="60"/>
            </w:pPr>
            <w:r>
              <w:rPr>
                <w:rFonts w:ascii="Arial" w:hAnsi="Arial"/>
                <w:sz w:val="17"/>
              </w:rPr>
              <w:t>Vagueness: 0.2598  |  Complexity: 0.2811</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-0.0011  |  Complexity: -0.0214</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Gates Industrial Corporation (GTES) presents a divergent disclosure risk signal: Claude Analysis flags HIGH concern driven by the elimination of segment-level performance narratives and supply chain risk specifics, while FinBERT ranks the company's vagueness as LOW relative to 185 sector peers. This divergence likely reflects that GTES's quarterly filings are statistically concise but have undergone material qualitative degradation in the most recent 10-Q. Supply chain customers should treat this as an elevated monitoring priority, and analysts should engage investor relations before the next earnings call.</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GTES's latest 10-Q vagueness score of 0.2587 sits well below the sector mean of 0.5066, placing it in the lower quartile of the peer universe. The 10-Q scores are stable quarter-over-quarter (essentially flat at -0.0011 change). However, the FinBERT model captures lexical vagueness, not the absence of disclosure; GTES's low score may partly reflect that the filing is simply shorter—436 sentences versus 491 previously—because substantive content was removed rather than made vaguer.</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apparent elimination of detailed segment-level MD&amp;A discussion. The prior 10-Q provided granular channel and end-market growth rates for both Power Transmission and Fluid Power segments; the current filing replaces this with a single boilerplate sentence that interim results are not necessarily indicative of full-year performance (see 10-Q filed 2025-07-30, p.17). This strips investors of the ability to assess demand trends across automotive replacement, industrial OEM, and personal mobility channels that historically comprised GTES's analytical narrative.</w:t>
      </w:r>
    </w:p>
    <w:p>
      <w:pPr>
        <w:spacing w:after="120" w:before="40"/>
      </w:pPr>
      <w:r>
        <w:rPr>
          <w:rFonts w:ascii="Arial" w:hAnsi="Arial"/>
          <w:i w:val="0"/>
          <w:color w:val="000000"/>
          <w:sz w:val="18"/>
        </w:rPr>
        <w:t>Equally concerning, GTES removed specific supply chain risk language referencing China, India, and Eastern Europe manufacturing exposure during a period of escalating tariff volatility (see 10-Q filed 2025-04-30, p.41). The current filing condenses supply chain discussion to two generic sentences about tariff mitigation through price increases (see 10-Q filed 2025-07-30, p.34). Separately, the prior quarter's discrete tax item breakdowns—quantifying $6.0 million in stock option exercise benefits and $5.2 million in deferred tax charges—were replaced with a statement that discrete impacts were "nominal" , eliminating effective tax rate transparency.</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GTES's peer comparison is limited by the available benchmark (Zebra Technologies), which operates in a different industrial subsegment. Even against this imperfect peer, GTES's supply chain disclosure is notably thinner. A more meaningful comparison against direct industrial peers such as Parker Hannifin or Roper Technologies is not available in the current dataset, which is a known limitation of the peer selection methodology.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contact GTES investor relations directly to determine whether segment-level MD&amp;A narrative was intentionally removed or relocated, and request the rationale; second, compare the current 10-Q against the prior-year Q2 filing to isolate whether this is a seasonal disclosure pattern or a new practice; third, independently assess GTES's manufacturing footprint exposure to tariff-affected regions using trade databases and customs data, given that the company has stopped self-reporting this risk in quarterly filings.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15:47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