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GTLS</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1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2025-07-29)</w:t>
            </w:r>
          </w:p>
        </w:tc>
        <w:tc>
          <w:tcPr>
            <w:tcW w:type="dxa" w:w="7200"/>
          </w:tcPr>
          <w:p>
            <w:pPr>
              <w:spacing w:before="60" w:after="60"/>
            </w:pPr>
            <w:r>
              <w:rPr>
                <w:rFonts w:ascii="Arial" w:hAnsi="Arial"/>
                <w:sz w:val="17"/>
              </w:rPr>
              <w:t>Vagueness: 0.2777  |  Complexity: 0.2510</w:t>
            </w:r>
          </w:p>
        </w:tc>
      </w:tr>
      <w:tr>
        <w:tc>
          <w:tcPr>
            <w:tcW w:type="dxa" w:w="2880"/>
            <w:shd w:val="clear" w:color="auto" w:fill="EBF3FB"/>
          </w:tcPr>
          <w:p>
            <w:pPr>
              <w:spacing w:before="60" w:after="60"/>
            </w:pPr>
            <w:r>
              <w:rPr>
                <w:rFonts w:ascii="Arial" w:hAnsi="Arial"/>
                <w:b/>
                <w:sz w:val="17"/>
              </w:rPr>
              <w:t>Prior (10-Q 2025-05-01)</w:t>
            </w:r>
          </w:p>
        </w:tc>
        <w:tc>
          <w:tcPr>
            <w:tcW w:type="dxa" w:w="7200"/>
          </w:tcPr>
          <w:p>
            <w:pPr>
              <w:spacing w:before="60" w:after="60"/>
            </w:pPr>
            <w:r>
              <w:rPr>
                <w:rFonts w:ascii="Arial" w:hAnsi="Arial"/>
                <w:sz w:val="17"/>
              </w:rPr>
              <w:t>Vagueness: 0.3079  |  Complexity: 0.0912</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-0.0302  |  Complexity: +0.1598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Chart Industries (GTLS) presents low supply chain disclosure risk. Both the Claude Analysis signal (LOW — one genuine flag, one borderline) and the FinBERT statistical signal (LOW — vagueness 23 percentage points below sector mean) converge on this assessment. The primary concern is that extensive Baker Hughes merger boilerplate may be displacing specific pre-existing operational disclosures, notably around the HTEC put option resolution. No immediate action is required, though analysts should monitor disclosure completeness as merger integration progresses.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GTLS's quarterly filings score well below the sector vagueness mean (0.28 vs. 0.51), placing the company firmly below the 25th percentile of the 185-company industrial universe. The latest filing shows a modest vagueness improvement of -0.03 points versus the prior quarter, though complexity rose meaningfully (+0.16), likely reflecting the incremental merger-related legal language. The overall trend is benign: 10-Q disclosures remain substantially more specific than annual filings, consistent with normal seasonal patterns.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finding concerns the disappearance of specific HTEC put option counterparty disclosure. The prior 10-Q detailed a signed letter of intent with a replacement counterparty and a concrete May 1, 2025 exercise date (see 10-Q filed 2025-05-01, p.28), but the most recent filing replaces this with generic merger agreement boilerplate (see 10-Q filed 2025-07-29, p.15). The omission is notable because I Squared Capital's exercise rights carry direct balance sheet implications, and investors cannot assess whether the replacement arrangement was consummated or lapsed.</w:t>
      </w:r>
    </w:p>
    <w:p>
      <w:pPr>
        <w:spacing w:after="120" w:before="40"/>
      </w:pPr>
      <w:r>
        <w:rPr>
          <w:rFonts w:ascii="Arial" w:hAnsi="Arial"/>
          <w:i w:val="0"/>
          <w:color w:val="000000"/>
          <w:sz w:val="18"/>
        </w:rPr>
        <w:t>A borderline concern involves the absence of quantified human capital costs during a transformative merger. GTLS's corporate segment description lists human resources generically (see 10-Q filed 2025-07-29, p.18), with no disclosure of retention bonuses, severance accruals, or workforce integration reserves — items that peer companies such as Valmont Industries quantify explicitly . While not yet a material gap, this could become significant as merger closing approaches and integration-related restructuring costs materialize.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GTLS's disclosure quality compares favorably to the broader industrials sector on quantitative measures, ranking well below the 25th percentile for vagueness. Peer comparison flags in the Opus analysis were largely misdirected, identifying peer weaknesses rather than GTLS degradation. This is a known limitation of the current peer-matching methodology for companies undergoing transformative M&amp;A, where filing structure diverges materially from steady-state peers.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independently verify the current status of the HTEC put option by reviewing the Baker Hughes merger proxy and any 8-K filings for evidence that the replacement counterparty arrangement closed or that the obligation was assumed into the merger structure. Second, analysts should examine GTLS's next quarterly filing for any restructuring or retention-related accruals that may emerge as merger closing nears. Third, maintain this company on a standard monitoring cadence — elevated surveillance is not warranted at this time.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