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HAYW</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ED7D31"/>
          <w:sz w:val="20"/>
        </w:rPr>
        <w:t>MEDIUM</w:t>
      </w:r>
    </w:p>
    <w:p>
      <w:pPr>
        <w:spacing w:after="80"/>
      </w:pPr>
      <w:r>
        <w:rPr>
          <w:rFonts w:ascii="Arial" w:hAnsi="Arial"/>
          <w:color w:val="606060"/>
          <w:sz w:val="17"/>
        </w:rPr>
        <w:t>Generated: 09 April 2026  |  Genuine: 0  |  Borderline: 3  |  Dismissed: 5</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2025-07-30)</w:t>
            </w:r>
          </w:p>
        </w:tc>
        <w:tc>
          <w:tcPr>
            <w:tcW w:type="dxa" w:w="7200"/>
          </w:tcPr>
          <w:p>
            <w:pPr>
              <w:spacing w:before="60" w:after="60"/>
            </w:pPr>
            <w:r>
              <w:rPr>
                <w:rFonts w:ascii="Arial" w:hAnsi="Arial"/>
                <w:sz w:val="17"/>
              </w:rPr>
              <w:t>Vagueness: 0.5822  |  Complexity: 0.1237</w:t>
            </w:r>
          </w:p>
        </w:tc>
      </w:tr>
      <w:tr>
        <w:tc>
          <w:tcPr>
            <w:tcW w:type="dxa" w:w="2880"/>
            <w:shd w:val="clear" w:color="auto" w:fill="EBF3FB"/>
          </w:tcPr>
          <w:p>
            <w:pPr>
              <w:spacing w:before="60" w:after="60"/>
            </w:pPr>
            <w:r>
              <w:rPr>
                <w:rFonts w:ascii="Arial" w:hAnsi="Arial"/>
                <w:b/>
                <w:sz w:val="17"/>
              </w:rPr>
              <w:t>Prior (10-Q 2025-05-01)</w:t>
            </w:r>
          </w:p>
        </w:tc>
        <w:tc>
          <w:tcPr>
            <w:tcW w:type="dxa" w:w="7200"/>
          </w:tcPr>
          <w:p>
            <w:pPr>
              <w:spacing w:before="60" w:after="60"/>
            </w:pPr>
            <w:r>
              <w:rPr>
                <w:rFonts w:ascii="Arial" w:hAnsi="Arial"/>
                <w:sz w:val="17"/>
              </w:rPr>
              <w:t>Vagueness: 0.4182  |  Complexity: 0.1896</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+0.1640  |  Complexity: -0.0659</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Hayward Holdings (HAYW) presents limited near-term supply chain disclosure risk. Claude Analysis rates the signal LOW, finding detailed and transparent filings with only one borderline temporal flag. FinBERT rates the signal MEDIUM, driven by a notable vagueness spike in the latest 10-Q (+0.164 vs. prior quarter) that places HAYW slightly above the sector mean. This divergence likely reflects boilerplate tariff language inflation rather than substantive evasion. Recommended action: maintain standard monitoring with attention to whether the quantitative sales decomposition is permanently discontinued.</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HAYW's latest 10-Q vagueness score of 0.582 sits at the 58th percentile of its 185-company industrial sector universe, modestly above the 0.507 mean. The filing-over-filing pattern is volatile: vagueness spiked to 0.610 in the October 2024 10-Q, normalized in the February 2025 10-K (0.350), and has risen again. Complexity remains below average. The trend suggests quarterly filings consistently run vaguer than annuals, a common pattern that partially explains the FinBERT MEDIUM flag without necessarily indicating disclosure deterioration.</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sole material temporal finding involves the apparent removal of the volume/price/currency net sales decomposition that appeared in the prior-year quarter. The earlier filing quantified demand drivers explicitly (Volume 8.0%, Price 1.1%, Currency −2.4%) alongside specific language about armed conflicts in the Middle East and Ukraine adversely affecting the E&amp;RW segment. The current filing replaces this with qualitative commentary on "improved market conditions" (see 10-Q filed 2025-07-30, p.21). While the improvement narrative may justify retiring adverse-impact language, the loss of the quantitative decomposition table reduces analyst visibility into organic growth composition.</w:t>
      </w:r>
    </w:p>
    <w:p>
      <w:pPr>
        <w:spacing w:after="120" w:before="40"/>
      </w:pPr>
      <w:r>
        <w:rPr>
          <w:rFonts w:ascii="Arial" w:hAnsi="Arial"/>
          <w:i w:val="0"/>
          <w:color w:val="000000"/>
          <w:sz w:val="18"/>
        </w:rPr>
        <w:t>Separately, HAYW's litigation profile warrants ongoing monitoring. The securities class action partially survived a motion to dismiss in June 2025 and has entered mediation, while warranty reserves continue to build ($27.4M vs. $24.9M year-over-year). The company's litigation disclosures themselves remain detailed — including a $22M wrongful death settlement — and compare favorably to peers . No evidence suggests disclosure softening around these liabilities at this time.</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HAYW's disclosure quality compares favorably to screened peers. Both Trane Technologies (TNC) and Standex International (SXI) provide materially thinner legal and environmental disclosures, though this likely reflects different exposure profiles rather than evasion . The peer set spans dissimilar industrial sub-segments, which is a known limitation of the screening algorithm and may overstate divergence.</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verify whether the volume/price/currency sales decomposition appears elsewhere in the latest 10-Q or segment discussion; if permanently dropped, raise the issue in the next earnings call to assess management's rationale and whether demand visibility has deteriorated. Second, track the securities class action mediation timeline for any settlement accrual that could signal unrecognized liabilities. Third, benchmark HAYW's warranty reserve accrual rate against installed base growth to confirm reserves remain adequate as the product portfolio expands.</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15:48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