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HLIO</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4  |  Dismissed: 2</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2025-08-05)</w:t>
            </w:r>
          </w:p>
        </w:tc>
        <w:tc>
          <w:tcPr>
            <w:tcW w:type="dxa" w:w="7200"/>
          </w:tcPr>
          <w:p>
            <w:pPr>
              <w:spacing w:before="60" w:after="60"/>
            </w:pPr>
            <w:r>
              <w:rPr>
                <w:rFonts w:ascii="Arial" w:hAnsi="Arial"/>
                <w:sz w:val="17"/>
              </w:rPr>
              <w:t>Vagueness: 0.2639  |  Complexity: 0.0391</w:t>
            </w:r>
          </w:p>
        </w:tc>
      </w:tr>
      <w:tr>
        <w:tc>
          <w:tcPr>
            <w:tcW w:type="dxa" w:w="2880"/>
            <w:shd w:val="clear" w:color="auto" w:fill="EBF3FB"/>
          </w:tcPr>
          <w:p>
            <w:pPr>
              <w:spacing w:before="60" w:after="60"/>
            </w:pPr>
            <w:r>
              <w:rPr>
                <w:rFonts w:ascii="Arial" w:hAnsi="Arial"/>
                <w:b/>
                <w:sz w:val="17"/>
              </w:rPr>
              <w:t>Prior (10-Q 2025-05-07)</w:t>
            </w:r>
          </w:p>
        </w:tc>
        <w:tc>
          <w:tcPr>
            <w:tcW w:type="dxa" w:w="7200"/>
          </w:tcPr>
          <w:p>
            <w:pPr>
              <w:spacing w:before="60" w:after="60"/>
            </w:pPr>
            <w:r>
              <w:rPr>
                <w:rFonts w:ascii="Arial" w:hAnsi="Arial"/>
                <w:sz w:val="17"/>
              </w:rPr>
              <w:t>Vagueness: 0.3101  |  Complexity: 0.0378</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-0.0462  |  Complexity: +0.0013</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Helios Technologies (HLIO) presents a divergent disclosure risk profile for supply chain monitoring purposes. The Claude qualitative analysis flags MEDIUM risk due to selective removal of restructuring details, tax impact assessments, and supply chain specifics between Q1 and Q2 2025 filings. However, FinBERT statistical analysis ranks HLIO's vagueness as LOW, placing it well below the sector mean (0.26 vs. 0.51). This divergence suggests targeted disclosure reductions in specific areas rather than broad obfuscation. Analysts should investigate restructuring status and tariff exposure through direct engagement.</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HLIO's latest 10-Q vagueness score of 0.264 sits firmly below the sector 25th percentile (0.420), positioning the company among the more transparent filers in the 185-company industrial universe. The trend is favorable: vagueness declined 4.6 points sequentially and is down sharply from the 2024 10-K peak of 0.803. Complexity remains negligible at 0.039. These metrics suggest HLIO's overall filing language is quantitatively precise, which makes the specific qualitative disclosure removals identified by the Claude analysis more conspicuous by contrast.</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concerns the wholesale removal of restructuring operational detail. HLIO's prior filing described two Regional Operational Centers of Excellence, specific cost figures ($0.3M and $1.4M), Tijuana production transfer plans, and $4.8M in Italian facility fire insurance proceeds . The current filing narrows restructuring discussion to European operations only (see 10-Q filed 2025-08-05, p.38), leaving investors without visibility into whether U.S. CoE consolidation is delivering expected efficiencies or encountering obstacles.</w:t>
      </w:r>
    </w:p>
    <w:p>
      <w:pPr>
        <w:spacing w:after="120" w:before="40"/>
      </w:pPr>
      <w:r>
        <w:rPr>
          <w:rFonts w:ascii="Arial" w:hAnsi="Arial"/>
          <w:i w:val="0"/>
          <w:color w:val="000000"/>
          <w:sz w:val="18"/>
        </w:rPr>
        <w:t>Secondly, HLIO removed its explicit Pillar Two no-material-impact assessment, replacing it with generic monitoring language (see 10-Q filed 2025-08-05, p.43). For a company with operations across multiple jurisdictions enacting top-up taxes, this retreat from a prior forward commitment may signal changed exposure. Additionally, HLIO's supply chain disclosure reduces to a single sentence — that it imports from Mexico, Italy, and China (see 10-Q filed 2025-08-05, p.39) — despite facing 55% Chinese tariffs and having paused Tijuana production plans, an incongruity that warrants scrutiny from any downstream customer assessing sourcing stability.</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HLIO's quantitative disclosure quality ranks favorably against the industrial sector, well below mean vagueness. However, peer comparison with companies like Mueller Water Products reveals gaps in legal proceedings and supply chain risk narrative. The peer set includes firms with materially different risk profiles (water infrastructure vs. hydraulics components), which is a known limitation of the current sector-level benchmarking methodology.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analysts should review HLIO's balance sheet and segment notes to confirm the HCEE intangible asset is fully amortized and that no residual charges were absorbed without disclosure. Second, on the next earnings call or through direct engagement, probe whether the Pillar Two tax assessment has changed and request updated restructuring cost run-rates for the Hydraulics segment's U.S. operations. Third, assess HLIO's China-sourced component exposure relative to your portfolio companies' bill of materials to quantify tariff pass-through risk to downstream customers.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15:48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