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HPE</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7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2025-09-04)</w:t>
            </w:r>
          </w:p>
        </w:tc>
        <w:tc>
          <w:tcPr>
            <w:tcW w:type="dxa" w:w="7200"/>
          </w:tcPr>
          <w:p>
            <w:pPr>
              <w:spacing w:before="60" w:after="60"/>
            </w:pPr>
            <w:r>
              <w:rPr>
                <w:rFonts w:ascii="Arial" w:hAnsi="Arial"/>
                <w:sz w:val="17"/>
              </w:rPr>
              <w:t>Vagueness: 0.2720  |  Complexity: 0.2212</w:t>
            </w:r>
          </w:p>
        </w:tc>
      </w:tr>
      <w:tr>
        <w:tc>
          <w:tcPr>
            <w:tcW w:type="dxa" w:w="2880"/>
            <w:shd w:val="clear" w:color="auto" w:fill="EBF3FB"/>
          </w:tcPr>
          <w:p>
            <w:pPr>
              <w:spacing w:before="60" w:after="60"/>
            </w:pPr>
            <w:r>
              <w:rPr>
                <w:rFonts w:ascii="Arial" w:hAnsi="Arial"/>
                <w:b/>
                <w:sz w:val="17"/>
              </w:rPr>
              <w:t>Prior (10-Q 2025-06-04)</w:t>
            </w:r>
          </w:p>
        </w:tc>
        <w:tc>
          <w:tcPr>
            <w:tcW w:type="dxa" w:w="7200"/>
          </w:tcPr>
          <w:p>
            <w:pPr>
              <w:spacing w:before="60" w:after="60"/>
            </w:pPr>
            <w:r>
              <w:rPr>
                <w:rFonts w:ascii="Arial" w:hAnsi="Arial"/>
                <w:sz w:val="17"/>
              </w:rPr>
              <w:t>Vagueness: 0.2840  |  Complexity: 0.2169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-0.0120  |  Complexity: +0.0043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Hewlett Packard Enterprise Company (HPE) presents a notable signal divergence: Claude Analysis flags HIGH risk due to wholesale removal of detailed Risk Factors from the September 2025 10-Q, while FinBERT ranks disclosure vagueness as LOW relative to the IT hardware sector (2.3 standard deviations below mean). The FinBERT result likely reflects that remaining text is clear and precise—but the concern is what is absent, not what is present. Supply chain customers should treat this as an elevated monitoring priority requiring immediate verification of whether HPE shifted to a reference-only risk factor format or deliberately reduced transparency during an active tariff disruption period.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HPE's FinBERT vagueness score of 0.272 places it well below the sector mean of 0.507, in the bottom quartile of the 185-company universe. Scores have trended consistently lower across five filings, declining from 0.559 to 0.272. However, this improvement is mechanically driven by the shift from short, boilerplate 10-K risk factor excerpts (7 sentences) to full 10-Q filings (595–703 sentences) dominated by precise financial statements. The FinBERT trend is therefore not informative about risk factor quality and should be interpreted with caution.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near-complete elimination of HPE's detailed Risk Factors section between the June and September 2025 10-Q filings. At least ten substantive risk categories were removed, including granular supply chain disclosures referencing single-source supplier dependencies, Asia-based assembly reliance, and tariff-driven diversification challenges (see 10-Q filed 2025-09-04, p.74). The disappearance of a specific $1.4 billion Hybrid Cloud goodwill impairment disclosure and forward-looking impairment risk language is particularly concerning, as it removes a quantified marker of asset quality deterioration (see 10-Q filed 2025-06-04, p.69).</w:t>
      </w:r>
    </w:p>
    <w:p>
      <w:pPr>
        <w:spacing w:after="120" w:before="40"/>
      </w:pPr>
      <w:r>
        <w:rPr>
          <w:rFonts w:ascii="Arial" w:hAnsi="Arial"/>
          <w:i w:val="0"/>
          <w:color w:val="000000"/>
          <w:sz w:val="18"/>
        </w:rPr>
        <w:t>Equally significant is the removal of candid language about AI order cancellation and de-booking risks, uneven demand digestion across geographies, and extended payment terms for large AI system orders—all during a period when HPE is aggressively scaling its AI infrastructure business (see 10-Q filed 2025-06-04, p.69). Geopolitical risk disclosures covering tariff impacts, China-U.S. tensions, and supply chain diversification costs were also dropped despite approximately 64% of revenue originating outside the United States (see 10-Q filed 2025-06-04, p.66). The pattern is consistent with either a deliberate shift to annual 10-K cross-referencing or a material reduction in quarterly transparency.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HPE's FinBERT vagueness score is substantially below the sector 25th percentile of 0.420, suggesting unusually low linguistic vagueness in retained text. However, the peer comparison is limited by the mechanical effect of filing composition differences; the early 10-K filings captured only 7 sentences versus 700+ in recent 10-Qs. Direct peer-to-peer risk factor completeness comparisons with Dell Technologies and Cisco Systems would provide more meaningful context.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first compare HPE's September 2025 10-Q Risk Factors section against the October 2024 10-K to determine whether the quarterly filing now employs a reference-only format, which would largely explain the removals. Second, review HPE's accounts receivable aging, DSO trends, and working capital for signs of AI-order-driven strain no longer disclosed. Third, independently assess Hybrid Cloud segment goodwill carrying values against current discount rates to evaluate whether the undisclosed $1.4 billion impairment risk has intensified.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