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Arial" w:hAnsi="Arial"/>
          <w:b/>
          <w:color w:val="1F3D6B"/>
          <w:sz w:val="28"/>
        </w:rPr>
        <w:t>SUPPLIER DISCLOSURE RISK MEMO</w:t>
      </w:r>
    </w:p>
    <w:p>
      <w:pPr>
        <w:spacing w:after="80"/>
      </w:pPr>
      <w:r>
        <w:rPr>
          <w:rFonts w:ascii="Arial" w:hAnsi="Arial"/>
          <w:b/>
          <w:color w:val="1F3D6B"/>
          <w:sz w:val="24"/>
        </w:rPr>
        <w:t>HY</w:t>
      </w:r>
    </w:p>
    <w:p>
      <w:pPr>
        <w:spacing w:after="40"/>
      </w:pPr>
      <w:r>
        <w:rPr>
          <w:rFonts w:ascii="Arial" w:hAnsi="Arial"/>
          <w:b/>
          <w:color w:val="1F3D6B"/>
          <w:sz w:val="20"/>
        </w:rPr>
        <w:t xml:space="preserve">CLAUDE ANALYSIS: </w:t>
      </w:r>
      <w:r>
        <w:rPr>
          <w:rFonts w:ascii="Arial" w:hAnsi="Arial"/>
          <w:b/>
          <w:color w:val="ED7D31"/>
          <w:sz w:val="20"/>
        </w:rPr>
        <w:t>MEDIUM</w:t>
      </w:r>
      <w:r>
        <w:rPr>
          <w:rFonts w:ascii="Arial" w:hAnsi="Arial"/>
          <w:color w:val="606060"/>
          <w:sz w:val="20"/>
        </w:rPr>
        <w:t xml:space="preserve">    |    </w:t>
      </w:r>
      <w:r>
        <w:rPr>
          <w:rFonts w:ascii="Arial" w:hAnsi="Arial"/>
          <w:b/>
          <w:color w:val="1F3D6B"/>
          <w:sz w:val="20"/>
        </w:rPr>
        <w:t xml:space="preserve">FINBERT VAGUENESS: </w:t>
      </w:r>
      <w:r>
        <w:rPr>
          <w:rFonts w:ascii="Arial" w:hAnsi="Arial"/>
          <w:b/>
          <w:color w:val="ED7D31"/>
          <w:sz w:val="20"/>
        </w:rPr>
        <w:t>MEDIUM</w:t>
      </w:r>
    </w:p>
    <w:p>
      <w:pPr>
        <w:spacing w:after="80"/>
      </w:pPr>
      <w:r>
        <w:rPr>
          <w:rFonts w:ascii="Arial" w:hAnsi="Arial"/>
          <w:color w:val="606060"/>
          <w:sz w:val="17"/>
        </w:rPr>
        <w:t>Generated: 09 April 2026  |  Genuine: 1  |  Borderline: 3  |  Dismissed: 4</w:t>
      </w:r>
    </w:p>
    <w:p>
      <w:pPr>
        <w:spacing w:before="80" w:after="80"/>
        <w:pBdr>
          <w:bottom w:val="single" w:sz="16" w:space="1" w:color="1F3D6B"/>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Most Recent (10-Q 2025-08-05)</w:t>
            </w:r>
          </w:p>
        </w:tc>
        <w:tc>
          <w:tcPr>
            <w:tcW w:type="dxa" w:w="7200"/>
          </w:tcPr>
          <w:p>
            <w:pPr>
              <w:spacing w:before="60" w:after="60"/>
            </w:pPr>
            <w:r>
              <w:rPr>
                <w:rFonts w:ascii="Arial" w:hAnsi="Arial"/>
                <w:sz w:val="17"/>
              </w:rPr>
              <w:t>Vagueness: 0.4438  |  Complexity: 0.0523</w:t>
            </w:r>
          </w:p>
        </w:tc>
      </w:tr>
      <w:tr>
        <w:tc>
          <w:tcPr>
            <w:tcW w:type="dxa" w:w="2880"/>
            <w:shd w:val="clear" w:color="auto" w:fill="EBF3FB"/>
          </w:tcPr>
          <w:p>
            <w:pPr>
              <w:spacing w:before="60" w:after="60"/>
            </w:pPr>
            <w:r>
              <w:rPr>
                <w:rFonts w:ascii="Arial" w:hAnsi="Arial"/>
                <w:b/>
                <w:sz w:val="17"/>
              </w:rPr>
              <w:t>Prior (10-Q 2025-05-06)</w:t>
            </w:r>
          </w:p>
        </w:tc>
        <w:tc>
          <w:tcPr>
            <w:tcW w:type="dxa" w:w="7200"/>
          </w:tcPr>
          <w:p>
            <w:pPr>
              <w:spacing w:before="60" w:after="60"/>
            </w:pPr>
            <w:r>
              <w:rPr>
                <w:rFonts w:ascii="Arial" w:hAnsi="Arial"/>
                <w:sz w:val="17"/>
              </w:rPr>
              <w:t>Vagueness: 0.4852  |  Complexity: 0.0533</w:t>
            </w:r>
          </w:p>
        </w:tc>
      </w:tr>
      <w:tr>
        <w:tc>
          <w:tcPr>
            <w:tcW w:type="dxa" w:w="2880"/>
            <w:shd w:val="clear" w:color="auto" w:fill="EBF3FB"/>
          </w:tcPr>
          <w:p>
            <w:pPr>
              <w:spacing w:before="60" w:after="60"/>
            </w:pPr>
            <w:r>
              <w:rPr>
                <w:rFonts w:ascii="Arial" w:hAnsi="Arial"/>
                <w:b/>
                <w:sz w:val="17"/>
              </w:rPr>
              <w:t>Change (latest vs prior)</w:t>
            </w:r>
          </w:p>
        </w:tc>
        <w:tc>
          <w:tcPr>
            <w:tcW w:type="dxa" w:w="7200"/>
          </w:tcPr>
          <w:p>
            <w:pPr>
              <w:spacing w:before="60" w:after="60"/>
            </w:pPr>
            <w:r>
              <w:rPr>
                <w:rFonts w:ascii="Arial" w:hAnsi="Arial"/>
                <w:sz w:val="17"/>
              </w:rPr>
              <w:t>Vagueness: -0.0414  |  Complexity: -0.0010</w:t>
            </w:r>
          </w:p>
        </w:tc>
      </w:tr>
      <w:tr>
        <w:tc>
          <w:tcPr>
            <w:tcW w:type="dxa" w:w="2880"/>
            <w:shd w:val="clear" w:color="auto" w:fill="EBF3FB"/>
          </w:tcPr>
          <w:p>
            <w:pPr>
              <w:spacing w:before="60" w:after="60"/>
            </w:pPr>
            <w:r>
              <w:rPr>
                <w:rFonts w:ascii="Arial" w:hAnsi="Arial"/>
                <w:b/>
                <w:sz w:val="17"/>
              </w:rPr>
              <w:t>Sector Average</w:t>
            </w:r>
          </w:p>
        </w:tc>
        <w:tc>
          <w:tcPr>
            <w:tcW w:type="dxa" w:w="7200"/>
          </w:tcPr>
          <w:p>
            <w:pPr>
              <w:spacing w:before="60" w:after="60"/>
            </w:pPr>
            <w:r>
              <w:rPr>
                <w:rFonts w:ascii="Arial" w:hAnsi="Arial"/>
                <w:sz w:val="17"/>
              </w:rPr>
              <w:t>Vagueness: 0.5066  |  P25: 0.4199  |  P75: 0.5957  (185 companies)</w:t>
            </w:r>
          </w:p>
        </w:tc>
      </w:tr>
      <w:tr>
        <w:tc>
          <w:tcPr>
            <w:tcW w:type="dxa" w:w="2880"/>
            <w:shd w:val="clear" w:color="auto" w:fill="EBF3FB"/>
          </w:tcPr>
          <w:p>
            <w:pPr>
              <w:spacing w:before="60" w:after="60"/>
            </w:pPr>
            <w:r>
              <w:rPr>
                <w:rFonts w:ascii="Arial" w:hAnsi="Arial"/>
                <w:b/>
                <w:sz w:val="17"/>
              </w:rPr>
              <w:t>Model Performance</w:t>
            </w:r>
          </w:p>
        </w:tc>
        <w:tc>
          <w:tcPr>
            <w:tcW w:type="dxa" w:w="7200"/>
          </w:tcPr>
          <w:p>
            <w:pPr>
              <w:spacing w:before="60" w:after="60"/>
            </w:pPr>
            <w:r>
              <w:rPr>
                <w:rFonts w:ascii="Arial" w:hAnsi="Arial"/>
                <w:sz w:val="17"/>
              </w:rPr>
              <w:t>Vagueness F1: 0.876  |  Complexity F1: 0.826</w:t>
            </w:r>
          </w:p>
        </w:tc>
      </w:tr>
    </w:tbl>
    <w:p>
      <w:pPr>
        <w:spacing w:after="80"/>
      </w:pPr>
    </w:p>
    <w:p>
      <w:pPr>
        <w:spacing w:before="280" w:after="80"/>
      </w:pPr>
      <w:r>
        <w:rPr>
          <w:rFonts w:ascii="Arial" w:hAnsi="Arial"/>
          <w:b/>
          <w:color w:val="1F3D6B"/>
          <w:sz w:val="20"/>
        </w:rPr>
        <w:t>1. EXECUTIVE SUMMARY</w:t>
      </w:r>
    </w:p>
    <w:p>
      <w:pPr>
        <w:spacing w:before="80" w:after="80"/>
        <w:pBdr>
          <w:bottom w:val="single" w:sz="8" w:space="1" w:color="2E75B6"/>
        </w:pBdr>
      </w:pPr>
    </w:p>
    <w:p>
      <w:pPr>
        <w:spacing w:after="120" w:before="40"/>
      </w:pPr>
      <w:r>
        <w:rPr>
          <w:rFonts w:ascii="Arial" w:hAnsi="Arial"/>
          <w:i w:val="0"/>
          <w:color w:val="000000"/>
          <w:sz w:val="18"/>
        </w:rPr>
        <w:t>Hyster-Yale Materials Handling (HY) presents a MEDIUM supply chain disclosure risk under both the Claude Analysis and FinBERT statistical signals. The company removed a standalone tariff and trade risk factor added just one quarter prior, despite ongoing material tariff-driven cost pressures detailed in its own MD&amp;A. A specific $15–18M restructuring cost estimate was also dropped without disclosure of actual results. The convergence of both signals at MEDIUM warrants targeted follow-up on restructuring outcomes and tariff mitigation execution risk.</w:t>
      </w:r>
    </w:p>
    <w:p>
      <w:pPr>
        <w:spacing w:before="280" w:after="80"/>
      </w:pPr>
      <w:r>
        <w:rPr>
          <w:rFonts w:ascii="Arial" w:hAnsi="Arial"/>
          <w:b/>
          <w:color w:val="1F3D6B"/>
          <w:sz w:val="20"/>
        </w:rPr>
        <w:t>2. DISCLOSURE QUALITY ASSESSMENT</w:t>
      </w:r>
    </w:p>
    <w:p>
      <w:pPr>
        <w:spacing w:before="80" w:after="80"/>
        <w:pBdr>
          <w:bottom w:val="single" w:sz="8" w:space="1" w:color="2E75B6"/>
        </w:pBdr>
      </w:pPr>
    </w:p>
    <w:p>
      <w:pPr>
        <w:spacing w:after="120" w:before="40"/>
      </w:pPr>
      <w:r>
        <w:rPr>
          <w:rFonts w:ascii="Arial" w:hAnsi="Arial"/>
          <w:i w:val="0"/>
          <w:color w:val="000000"/>
          <w:sz w:val="18"/>
        </w:rPr>
        <w:t>HY's latest 10-Q vagueness score of 0.4438 sits modestly below the 185-company sector mean of 0.5066, placing it near the 25th percentile — generally favorable. However, the annual 10-K filings register significantly higher vagueness (0.7352 in February 2025), and the quarterly scores have trended upward from 0.3727 to 0.4438 over the most recent two 10-Qs. This upward quarterly drift, while still sector-average, suggests incremental disclosure softening worth monitoring.</w:t>
      </w:r>
    </w:p>
    <w:p>
      <w:pPr>
        <w:spacing w:before="280" w:after="80"/>
      </w:pPr>
      <w:r>
        <w:rPr>
          <w:rFonts w:ascii="Arial" w:hAnsi="Arial"/>
          <w:b/>
          <w:color w:val="1F3D6B"/>
          <w:sz w:val="20"/>
        </w:rPr>
        <w:t>3. KEY FINDINGS &amp; EVIDENCE</w:t>
      </w:r>
    </w:p>
    <w:p>
      <w:pPr>
        <w:spacing w:before="80" w:after="80"/>
        <w:pBdr>
          <w:bottom w:val="single" w:sz="8" w:space="1" w:color="2E75B6"/>
        </w:pBdr>
      </w:pPr>
    </w:p>
    <w:p>
      <w:pPr>
        <w:spacing w:after="120" w:before="40"/>
      </w:pPr>
      <w:r>
        <w:rPr>
          <w:rFonts w:ascii="Arial" w:hAnsi="Arial"/>
          <w:i w:val="0"/>
          <w:color w:val="000000"/>
          <w:sz w:val="18"/>
        </w:rPr>
        <w:t>The most material finding is the removal of a specific $15–18M estimate for Q2 2025 employee severance and asset impairment costs without substituting actual figures now that the quarter has concluded (see 10-Q filed 2025-05-06, p.21). The prior filing provided granular restructuring guidance; the current filing retains only the $10–15M Nuvera cost-absorption language while eliminating all reference to headcount reduction savings or restructuring charges (see 10-Q filed 2025-08-05, p.32). This creates an information gap on a quantifiable cost item that directly affects operating margins.</w:t>
      </w:r>
    </w:p>
    <w:p>
      <w:pPr>
        <w:spacing w:after="120" w:before="40"/>
      </w:pPr>
      <w:r>
        <w:rPr>
          <w:rFonts w:ascii="Arial" w:hAnsi="Arial"/>
          <w:i w:val="0"/>
          <w:color w:val="000000"/>
          <w:sz w:val="18"/>
        </w:rPr>
        <w:t>Separately, HY removed an entire risk factor update on escalating U.S.–China tariffs and retaliatory trade measures that had been added just one quarter earlier . The prior filing explicitly warned that tariff mitigation actions "could be time-consuming and expensive" and could impair pricing and profitability . The current MD&amp;A still discusses significant tariff-driven cost increases at length, creating an internal inconsistency between the risk factor section and operational commentary. While HY may consider the annual 10-K risk factors sufficient, the abrupt removal of a quarterly update during an escalating tariff environment reduces forward-looking transparency on a topic with direct supply chain cost implications.</w:t>
      </w:r>
    </w:p>
    <w:p>
      <w:pPr>
        <w:spacing w:before="280" w:after="80"/>
      </w:pPr>
      <w:r>
        <w:rPr>
          <w:rFonts w:ascii="Arial" w:hAnsi="Arial"/>
          <w:b/>
          <w:color w:val="1F3D6B"/>
          <w:sz w:val="20"/>
        </w:rPr>
        <w:t>4. PEER COMPARISON</w:t>
      </w:r>
    </w:p>
    <w:p>
      <w:pPr>
        <w:spacing w:before="80" w:after="80"/>
        <w:pBdr>
          <w:bottom w:val="single" w:sz="8" w:space="1" w:color="2E75B6"/>
        </w:pBdr>
      </w:pPr>
    </w:p>
    <w:p>
      <w:pPr>
        <w:spacing w:after="120" w:before="40"/>
      </w:pPr>
      <w:r>
        <w:rPr>
          <w:rFonts w:ascii="Arial" w:hAnsi="Arial"/>
          <w:i w:val="0"/>
          <w:color w:val="000000"/>
          <w:sz w:val="18"/>
        </w:rPr>
        <w:t>At a vagueness score of 0.4438, HY sits below the sector mean and near the first quartile, suggesting its baseline disclosure language is somewhat more precise than typical industrial peers. However, the peer divergence flags in the DDDS analysis were misdirected — flagging peer filings rather than HY — which is a known limitation that reduces the reliability of relative comparisons in this cycle.</w:t>
      </w:r>
    </w:p>
    <w:p>
      <w:pPr>
        <w:spacing w:before="280" w:after="80"/>
      </w:pPr>
      <w:r>
        <w:rPr>
          <w:rFonts w:ascii="Arial" w:hAnsi="Arial"/>
          <w:b/>
          <w:color w:val="1F3D6B"/>
          <w:sz w:val="20"/>
        </w:rPr>
        <w:t>5. RECOMMENDED ANALYST ACTIONS</w:t>
      </w:r>
    </w:p>
    <w:p>
      <w:pPr>
        <w:spacing w:before="80" w:after="80"/>
        <w:pBdr>
          <w:bottom w:val="single" w:sz="8" w:space="1" w:color="2E75B6"/>
        </w:pBdr>
      </w:pPr>
    </w:p>
    <w:p>
      <w:pPr>
        <w:spacing w:after="120" w:before="40"/>
      </w:pPr>
      <w:r>
        <w:rPr>
          <w:rFonts w:ascii="Arial" w:hAnsi="Arial"/>
          <w:i w:val="0"/>
          <w:color w:val="000000"/>
          <w:sz w:val="18"/>
        </w:rPr>
        <w:t>First, review HY's Q2 2025 financial statements for restructuring, severance, and impairment line items to reconcile actual charges against the previously disclosed $15–18M estimate and assess whether costs were absorbed, deferred, or simply undisclosed. Second, examine the 10-K risk factors to determine whether tariff execution risk and supply chain disruption language provides adequate substitute coverage for the removed quarterly update. Third, during upcoming earnings engagement, probe whether management views tariff mitigation risks as diminishing or whether the risk factor removal was a formatting decision, and request updated quantification of tariff cost pass-through success rates.</w:t>
      </w:r>
    </w:p>
    <w:p>
      <w:pPr>
        <w:spacing w:before="80" w:after="80"/>
        <w:pBdr>
          <w:bottom w:val="single" w:sz="4" w:space="1" w:color="CCCCCC"/>
        </w:pBdr>
      </w:pPr>
    </w:p>
    <w:tbl>
      <w:tblPr>
        <w:tblStyle w:val="TableGrid"/>
        <w:tblW w:type="auto" w:w="0"/>
        <w:jc w:val="left"/>
        <w:tblLook w:firstColumn="1" w:firstRow="1" w:lastColumn="0" w:lastRow="0" w:noHBand="0" w:noVBand="1" w:val="04A0"/>
      </w:tblPr>
      <w:tblGrid>
        <w:gridCol w:w="4680"/>
        <w:gridCol w:w="4680"/>
      </w:tblGrid>
      <w:tr>
        <w:tc>
          <w:tcPr>
            <w:tcW w:type="dxa" w:w="2880"/>
            <w:shd w:val="clear" w:color="auto" w:fill="EBF3FB"/>
          </w:tcPr>
          <w:p>
            <w:pPr>
              <w:spacing w:before="60" w:after="60"/>
            </w:pPr>
            <w:r>
              <w:rPr>
                <w:rFonts w:ascii="Arial" w:hAnsi="Arial"/>
                <w:b/>
                <w:sz w:val="17"/>
              </w:rPr>
              <w:t>FinBERT classifiers</w:t>
            </w:r>
          </w:p>
        </w:tc>
        <w:tc>
          <w:tcPr>
            <w:tcW w:type="dxa" w:w="7200"/>
          </w:tcPr>
          <w:p>
            <w:pPr>
              <w:spacing w:before="60" w:after="60"/>
            </w:pPr>
            <w:r>
              <w:rPr>
                <w:rFonts w:ascii="Arial" w:hAnsi="Arial"/>
                <w:sz w:val="17"/>
              </w:rPr>
              <w:t>Vagueness (F1 0.876) + Complexity (F1 0.826)</w:t>
            </w:r>
          </w:p>
        </w:tc>
      </w:tr>
      <w:tr>
        <w:tc>
          <w:tcPr>
            <w:tcW w:type="dxa" w:w="2880"/>
            <w:shd w:val="clear" w:color="auto" w:fill="EBF3FB"/>
          </w:tcPr>
          <w:p>
            <w:pPr>
              <w:spacing w:before="60" w:after="60"/>
            </w:pPr>
            <w:r>
              <w:rPr>
                <w:rFonts w:ascii="Arial" w:hAnsi="Arial"/>
                <w:b/>
                <w:sz w:val="17"/>
              </w:rPr>
              <w:t>Screening</w:t>
            </w:r>
          </w:p>
        </w:tc>
        <w:tc>
          <w:tcPr>
            <w:tcW w:type="dxa" w:w="7200"/>
          </w:tcPr>
          <w:p>
            <w:pPr>
              <w:spacing w:before="60" w:after="60"/>
            </w:pPr>
            <w:r>
              <w:rPr>
                <w:rFonts w:ascii="Arial" w:hAnsi="Arial"/>
                <w:sz w:val="17"/>
              </w:rPr>
              <w:t>GPT-4o-mini | Deep analysis: Claude Opus 4.6</w:t>
            </w:r>
          </w:p>
        </w:tc>
      </w:tr>
      <w:tr>
        <w:tc>
          <w:tcPr>
            <w:tcW w:type="dxa" w:w="2880"/>
            <w:shd w:val="clear" w:color="auto" w:fill="EBF3FB"/>
          </w:tcPr>
          <w:p>
            <w:pPr>
              <w:spacing w:before="60" w:after="60"/>
            </w:pPr>
            <w:r>
              <w:rPr>
                <w:rFonts w:ascii="Arial" w:hAnsi="Arial"/>
                <w:b/>
                <w:sz w:val="17"/>
              </w:rPr>
              <w:t>Data source</w:t>
            </w:r>
          </w:p>
        </w:tc>
        <w:tc>
          <w:tcPr>
            <w:tcW w:type="dxa" w:w="7200"/>
          </w:tcPr>
          <w:p>
            <w:pPr>
              <w:spacing w:before="60" w:after="60"/>
            </w:pPr>
            <w:r>
              <w:rPr>
                <w:rFonts w:ascii="Arial" w:hAnsi="Arial"/>
                <w:sz w:val="17"/>
              </w:rPr>
              <w:t>SEC EDGAR (10-K, 10-Q) | Graph: Neo4j</w:t>
            </w:r>
          </w:p>
        </w:tc>
      </w:tr>
    </w:tbl>
    <w:p>
      <w:pPr>
        <w:spacing w:after="80"/>
      </w:pPr>
    </w:p>
    <w:p>
      <w:pPr>
        <w:spacing w:before="80"/>
      </w:pPr>
      <w:r>
        <w:rPr>
          <w:rFonts w:ascii="Arial" w:hAnsi="Arial"/>
          <w:i/>
          <w:color w:val="606060"/>
          <w:sz w:val="14"/>
        </w:rPr>
        <w:t>IMPORTANT NOTICE: This is an automated screening output from the Disclosure Degradation Detection System (DDDS). It does not constitute investment advice. All findings are probabilistic signals requiring independent verification. Consistent with CFA Institute Standard V(A) — Diligence and Reasonable Basis.</w:t>
      </w:r>
    </w:p>
    <w:p>
      <w:r>
        <w:rPr>
          <w:rFonts w:ascii="Arial" w:hAnsi="Arial"/>
          <w:color w:val="606060"/>
          <w:sz w:val="14"/>
        </w:rPr>
        <w:t>Generated: 09 April 2026 15:49  |  DDDS v1.0 — The Transparency Project</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