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INTZ</w:t>
      </w:r>
    </w:p>
    <w:p>
      <w:pPr>
        <w:spacing w:after="40"/>
      </w:pPr>
      <w:r>
        <w:rPr>
          <w:rFonts w:ascii="Arial" w:hAnsi="Arial"/>
          <w:b/>
          <w:color w:val="1F3D6B"/>
          <w:sz w:val="20"/>
        </w:rPr>
        <w:t xml:space="preserve">CLAUDE ANALYSIS: </w:t>
      </w:r>
      <w:r>
        <w:rPr>
          <w:rFonts w:ascii="Arial" w:hAnsi="Arial"/>
          <w:b/>
          <w:color w:val="C00000"/>
          <w:sz w:val="20"/>
        </w:rPr>
        <w:t>HIGH</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388638"/>
          <w:sz w:val="20"/>
        </w:rPr>
        <w:t>LOW</w:t>
      </w:r>
    </w:p>
    <w:p>
      <w:pPr>
        <w:spacing w:after="80"/>
      </w:pPr>
      <w:r>
        <w:rPr>
          <w:rFonts w:ascii="Arial" w:hAnsi="Arial"/>
          <w:color w:val="606060"/>
          <w:sz w:val="17"/>
        </w:rPr>
        <w:t>Generated: 09 April 2026  |  Genuine: 4  |  Borderline: 3  |  Dismissed: 3</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2025-08-12)</w:t>
            </w:r>
          </w:p>
        </w:tc>
        <w:tc>
          <w:tcPr>
            <w:tcW w:type="dxa" w:w="7200"/>
          </w:tcPr>
          <w:p>
            <w:pPr>
              <w:spacing w:before="60" w:after="60"/>
            </w:pPr>
            <w:r>
              <w:rPr>
                <w:rFonts w:ascii="Arial" w:hAnsi="Arial"/>
                <w:sz w:val="17"/>
              </w:rPr>
              <w:t>Vagueness: 0.4003  |  Complexity: 0.1151</w:t>
            </w:r>
          </w:p>
        </w:tc>
      </w:tr>
      <w:tr>
        <w:tc>
          <w:tcPr>
            <w:tcW w:type="dxa" w:w="2880"/>
            <w:shd w:val="clear" w:color="auto" w:fill="EBF3FB"/>
          </w:tcPr>
          <w:p>
            <w:pPr>
              <w:spacing w:before="60" w:after="60"/>
            </w:pPr>
            <w:r>
              <w:rPr>
                <w:rFonts w:ascii="Arial" w:hAnsi="Arial"/>
                <w:b/>
                <w:sz w:val="17"/>
              </w:rPr>
              <w:t>Prior (10-Q 2025-04-29)</w:t>
            </w:r>
          </w:p>
        </w:tc>
        <w:tc>
          <w:tcPr>
            <w:tcW w:type="dxa" w:w="7200"/>
          </w:tcPr>
          <w:p>
            <w:pPr>
              <w:spacing w:before="60" w:after="60"/>
            </w:pPr>
            <w:r>
              <w:rPr>
                <w:rFonts w:ascii="Arial" w:hAnsi="Arial"/>
                <w:sz w:val="17"/>
              </w:rPr>
              <w:t>Vagueness: 0.4054  |  Complexity: 0.1151</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-0.0051  |  Complexity: +0.0000</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Intrusion Inc. (INTZ) presents a notable supply chain transparency concern driven by the simultaneous removal of granular margin data and government contract risk language from its most recent 10-Q, even as DoD revenue dependence is increasing. The Claude Analysis signal is HIGH, identifying four genuine disclosure degradations, while the FinBERT statistical signal is LOW, placing INTZ well below sector-mean vagueness. This divergence likely reflects the company's short, simple filings scoring well on statistical readability metrics while masking substantive omissions that qualitative review detects. We recommend enhanced due diligence before maintaining or increasing exposure to supply chains dependent on INTZ products or services.</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INTZ's FinBERT vagueness score of 0.40 in its latest 10-Q sits at the 25th percentile of the 185-company sector universe, well below the 0.51 mean, and the trend is modestly improving (−0.005 quarter-over-quarter). However, this favorable statistical profile is partly an artifact of filing brevity—only 93 sentences in the latest 10-Q versus 313 in the most recent 10-K. Short filings with fewer risk disclosures mechanically score lower on vagueness, which is a known limitation of purely statistical approaches when evaluating micro-cap issuers with thin filings.</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wholesale removal of specific gross margin figures from MD&amp;A. The prior quarter disclosed gross profit of $1.3 million at 75.7% margins with INTRUSION Shield mix detail , while the current filing substitutes only that "the gross profit margin will vary depending on product mix" . This shift from quantitative to qualitative language on a core profitability metric is a textbook disclosure degradation pattern, particularly concerning given the prior quarter already showed margin compression from 80.0% to 75.7%.</w:t>
      </w:r>
    </w:p>
    <w:p>
      <w:pPr>
        <w:spacing w:after="120" w:before="40"/>
      </w:pPr>
      <w:r>
        <w:rPr>
          <w:rFonts w:ascii="Arial" w:hAnsi="Arial"/>
          <w:i w:val="0"/>
          <w:color w:val="000000"/>
          <w:sz w:val="18"/>
        </w:rPr>
        <w:t>Equally significant is the removal of government contract risk language at precisely the time INTZ's DoD revenue exposure is growing. Prior filings warned explicitly of "potential disruption to appropriation and spending patterns" (see 10-Q filed 2025-04-29, p.17), while the current filing mentions the DoD contract only in the context of a revenue increase explanation . For a company increasing its concentration in government revenue amid ongoing federal spending uncertainty, eliminating rather than expanding this risk disclosure is a meaningful red flag for downstream customers relying on INTZ's cybersecurity products.</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Relative to peer LTRX, INTZ's disclosure on cost pressures, geopolitical risks, and cybersecurity operational vulnerabilities is materially thinner. LTRX provides detailed discussion of pricing pressure, component costs, tariff exposure, and data privacy obligations—topics relevant to any cybersecurity hardware/software vendor. The peer comparison is somewhat constrained by scale differences between INTZ and available comparators in the sector universe, a known limitation of the current peer selection methodology.</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Analysts should take three steps: first, independently calculate INTZ's Q2 2025 gross margin from the financial statements to determine whether the omission from MD&amp;A narrative coincides with accelerating margin deterioration. Second, assess the size, duration, and renewal risk of the DoD contract to quantify government revenue concentration. Third, review the full Risk Factors section of the 10-Q to determine whether government contract and cybersecurity operational risks are addressed elsewhere in the filing or have been systematically removed across all sections.</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15:49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