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INVX</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2  |  Borderline: 2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0.2505  |  Complexity: 0.3206</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0.2334  |  Complexity: 0.3256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+0.0171  |  Complexity: -0.0050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INVX presents a moderate supply chain transparency concern. Claude Analysis flags MEDIUM risk driven by the removal of quarterly accounting detail and a notable absence of geopolitical and tariff risk disclosure despite international manufacturing operations. FinBERT ranks the company LOW risk, placing it well below the sector mean vagueness score. This divergence likely reflects that INVX's filing language is statistically precise even as substantive content has been stripped. We recommend heightened monitoring and direct engagement on tariff and FX exposure.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INVX's latest 10-Q vagueness score of 0.2505 sits 0.2561 below the sector mean of 0.5066, placing it firmly below the 25th percentile of the 185-company universe. The modest quarter-over-quarter increase of +0.0171 is negligible. Annual filings run higher (0.6559 in the latest 10-K), consistent with boilerplate risk factor language typical of annual reports. Statistically, INVX's quarterly filings exhibit cleaner, more specific language than most peers.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concern is the complete removal of critical accounting estimates and over-time revenue recognition metrics from the quarterly filing. The prior 10-Q disclosed specific project counts and revenue thresholds, while the current filing reduces this to a blanket reference to the Annual Report (see 10-Q filed 2025-08-06, p.35). This is technically permissible but eliminates real-time visibility into judgment-intensive areas such as percentage-of-completion accounting that can mask margin deterioration between annual filings.</w:t>
      </w:r>
    </w:p>
    <w:p>
      <w:pPr>
        <w:spacing w:after="120" w:before="40"/>
      </w:pPr>
      <w:r>
        <w:rPr>
          <w:rFonts w:ascii="Arial" w:hAnsi="Arial"/>
          <w:i w:val="0"/>
          <w:color w:val="000000"/>
          <w:sz w:val="18"/>
        </w:rPr>
        <w:t>Equally concerning is INVX's silence on tariff, trade policy, and foreign currency risk despite operating internationally, including manufacturing assets in Mexico. Peer companies DNOW and SEI both provide substantive geopolitical risk discussion — DNOW quantifies FX sensitivity while SEI details the impact of baseline and reciprocal tariffs . INVX's corresponding disclosure addresses only effective tax rate changes with no mention of tariff or currency exposure (see 10-Q filed 2025-08-06, p.30). For a company with a global manufacturing footprint, this omission is difficult to justify.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Relative to sector peers DNOW and SEI, INVX's disclosure gaps are qualitative rather than quantitative. Its filing language is statistically cleaner than average, but it lacks the forward-looking operating environment commentary, tariff risk discussion, and FX sensitivity analysis that peers provide. Note that peer selection draws from the broader industrial supply chain sector, which may not perfectly match INVX's specific end-market exposures.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INVX's most recent 10-K to verify whether critical accounting estimates, over-time project metrics, and DWS acquisition details ($15.0M premium, $13.0M intangibles) are fully preserved there or have also been reduced. Second, engage INVX investor relations directly to quantify tariff exposure across its Mexico and other international manufacturing sites, including any cost pass-through mechanisms with customers. Third, monitor the next quarterly filing for whether geopolitical risk language is restored or the omission persists, which would strengthen the case for a deliberate disclosure strategy.</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15:50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