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ITT</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0.2996  |  Complexity: 0.2061</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0.2949  |  Complexity: 0.1876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+0.0047  |  Complexity: +0.0185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ITT Inc. presents low supply chain disclosure risk based on converging LOW signals from both the Claude Analysis and FinBERT statistical models. The company's 10-Q vagueness scores sit well below the sector mean, and only one genuine disclosure degradation flag was identified — the removal of specific tariff mitigation strategies from risk factors. This is a notable but isolated change. Recommended action: maintain routine monitoring cadence with targeted follow-up on tariff mitigation language during upcoming earnings calls.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ITT's latest 10-Q vagueness score of 0.2996 falls 0.21 points below the sector mean of 0.5066, placing it firmly in the most transparent quartile of the 185-company industrial universe. The quarter-over-quarter change of +0.0047 in vagueness is negligible, and the modest complexity uptick (+0.0185) is consistent with normal filing variation. The 10-K filings show higher vagueness (0.53–0.61), typical of annual risk factor boilerplate, but the quarterly trajectory is stable and unremarkable.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flag involves the removal of specific tariff mitigation language from ITT's supply chain risk factor. The prior filing detailed concrete actions — "supplier and customer negotiations, diversification strategies and pricing actions" — with an honest caveat about effectiveness (see 10-Q filed 2025-07-31, p.35). The current filing retains only the generic observation that trade measures "have contributed to increased uncertainty in global trade policy and supply chain dynamics" (see 10-Q filed 2025-07-31, p.35). While the deletion does not rise to a systemic transparency concern, it removes actionable detail precisely when escalating trade tensions make such disclosure most material.</w:t>
      </w:r>
    </w:p>
    <w:p>
      <w:pPr>
        <w:spacing w:after="120" w:before="40"/>
      </w:pPr>
      <w:r>
        <w:rPr>
          <w:rFonts w:ascii="Arial" w:hAnsi="Arial"/>
          <w:i w:val="0"/>
          <w:color w:val="000000"/>
          <w:sz w:val="18"/>
        </w:rPr>
        <w:t>A borderline peer comparison flag noted that Flowserve provides more granular quantified FX hedging disclosure in its risk factors section, while ITT addresses tariff exposure without comparable FX sensitivity data in the same filing section . However, ITT does disclose FX derivative activity in its financial statement footnotes, suggesting this reflects filing organization rather than a substantive omission. Peer selection limitations in the industrial diversified space may also affect the comparability of this finding.</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ITT's disclosure quality ranks comfortably above the sector median, with vagueness 0.21 points below the universe mean. The peer divergence analysis found that ITT generally discloses more operational detail than comparator Flowserve on most topics, with the FX quantification gap being an organizational rather than substantive difference. Peer selection within the diversified industrials space is inherently imprecise given varying end-market exposures.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use the upcoming earnings call to ask management directly why specific tariff mitigation strategies (supplier negotiations, diversification, pricing actions) were removed from the risk factor language and whether any of these strategies have proven ineffective. Second, review ITT's gross margin trajectory over the next two quarters for signs that tariff costs are being absorbed rather than mitigated. Third, cross-reference the derivatives footnotes in the 10-Q to confirm FX hedging program details remain fully disclosed outside the risk factors section.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