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JBI</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2  |  Borderline: 3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2025-08-07)</w:t>
            </w:r>
          </w:p>
        </w:tc>
        <w:tc>
          <w:tcPr>
            <w:tcW w:type="dxa" w:w="7200"/>
          </w:tcPr>
          <w:p>
            <w:pPr>
              <w:spacing w:before="60" w:after="60"/>
            </w:pPr>
            <w:r>
              <w:rPr>
                <w:rFonts w:ascii="Arial" w:hAnsi="Arial"/>
                <w:sz w:val="17"/>
              </w:rPr>
              <w:t>Vagueness: 0.2747  |  Complexity: 0.1762</w:t>
            </w:r>
          </w:p>
        </w:tc>
      </w:tr>
      <w:tr>
        <w:tc>
          <w:tcPr>
            <w:tcW w:type="dxa" w:w="2880"/>
            <w:shd w:val="clear" w:color="auto" w:fill="EBF3FB"/>
          </w:tcPr>
          <w:p>
            <w:pPr>
              <w:spacing w:before="60" w:after="60"/>
            </w:pPr>
            <w:r>
              <w:rPr>
                <w:rFonts w:ascii="Arial" w:hAnsi="Arial"/>
                <w:b/>
                <w:sz w:val="17"/>
              </w:rPr>
              <w:t>Prior (10-Q 2025-05-08)</w:t>
            </w:r>
          </w:p>
        </w:tc>
        <w:tc>
          <w:tcPr>
            <w:tcW w:type="dxa" w:w="7200"/>
          </w:tcPr>
          <w:p>
            <w:pPr>
              <w:spacing w:before="60" w:after="60"/>
            </w:pPr>
            <w:r>
              <w:rPr>
                <w:rFonts w:ascii="Arial" w:hAnsi="Arial"/>
                <w:sz w:val="17"/>
              </w:rPr>
              <w:t>Vagueness: 0.2762  |  Complexity: 0.1764</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-0.0015  |  Complexity: -0.0002</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Janus International Group (JBI) presents a divergent risk signal for supply chain monitoring purposes. Claude Analysis flags MEDIUM disclosure degradation, identifying the removal of key financial metrics and non-GAAP measures from MD&amp;A during a period of significant performance deterioration. FinBERT ranks JBI LOW on sector-relative vagueness, placing it well below the sector mean. The divergence likely reflects that quantitative filing metrics remain stable while qualitative content has materially thinned. We recommend enhanced monitoring and direct verification of cash flow and leverage trends.</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JBI's FinBERT vagueness score of 0.2747 in its latest 10-Q sits 23 percentage points below the sector mean of 0.5066, placing it firmly in the bottom quartile for vagueness among 185 peers. Scores have been stable across consecutive 10-Q filings, with negligible changes in both vagueness (-0.0015) and complexity (-0.0002). The statistical model detects no deterioration trend, suggesting the structural prose of JBI's filings remains relatively concrete and specific even as targeted content has been removed.</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JBI's removal of a detailed quantitative financial summary from its Q2 2025 MD&amp;A. The prior quarter explicitly disclosed revenue of $210.5M (vs. $254.5M prior year), net income of $10.8M (vs. $30.7M), and adjusted EBITDA of $38.4M (vs. $66.3M), revealing severe year-over-year declines. This granular overview was replaced with generic M&amp;A strategy language . The timing is concerning: stripping the executive summary precisely when it would have shown whether deterioration continued.</w:t>
      </w:r>
    </w:p>
    <w:p>
      <w:pPr>
        <w:spacing w:after="120" w:before="40"/>
      </w:pPr>
      <w:r>
        <w:rPr>
          <w:rFonts w:ascii="Arial" w:hAnsi="Arial"/>
          <w:i w:val="0"/>
          <w:color w:val="000000"/>
          <w:sz w:val="18"/>
        </w:rPr>
        <w:t>Additionally, JBI narrowed its non-GAAP disclosure from three measures — Adjusted EBITDA, Free Cash Flow, and Net Leverage Ratio — down to Adjusted EBITDA alone (see 10-Q filed 2025-08-07, p.28). For a leveraged industrial manufacturer, the disappearance of Free Cash Flow and Net Leverage Ratio metrics removes critical visibility into balance sheet health. Separately, JBI removed language describing how annual steel coil price agreements "partially mitigate" commodity fluctuations (see 10-Q filed 2025-08-07, p.31), a notable omission given the 25-50% tariff environment on steel imports. This may signal that hedging arrangements are no longer providing meaningful protection.</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JBI's regulatory and legal discussion in MD&amp;A is limited to a single generic sentence (see 10-Q filed 2025-08-07, p.32), unusually thin for an industrial manufacturer with international operations and tariff exposure. Peer comparisons in this analysis are of limited utility due to poor peer matching — flagged peers include a medical device company and an additive manufacturing firm — which constrains the interpretive value of cross-company benchmarking.</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reconstruct JBI's quarterly financial trajectory directly from the income statement and cash flow statement to assess whether the Q1 2025 deterioration (revenue -17%, net income -65%, EBITDA margin compression of 800bps) has continued or accelerated into Q2. Second, verify whether Free Cash Flow and Net Leverage Ratio reconciliations appear anywhere in the filing or have been discontinued entirely, and compare leverage ratios to debt covenants. Third, engage JBI's investor relations to clarify the status and pricing of annual steel coil agreements under current tariff conditions.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15:50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